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theme/theme1.xml" ContentType="application/vnd.openxmlformats-officedocument.theme+xml"/>
  <Override PartName="/word/charts/colors4.xml" ContentType="application/vnd.ms-office.chartcolorstyle+xml"/>
  <Override PartName="/word/charts/style4.xml" ContentType="application/vnd.ms-office.chart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style2.xml" ContentType="application/vnd.ms-office.chartstyle+xml"/>
  <Override PartName="/word/charts/chart3.xml" ContentType="application/vnd.openxmlformats-officedocument.drawingml.chart+xml"/>
  <Override PartName="/word/charts/chart4.xml" ContentType="application/vnd.openxmlformats-officedocument.drawingml.chart+xml"/>
  <Override PartName="/word/charts/colors2.xml" ContentType="application/vnd.ms-office.chartcolorstyle+xml"/>
  <Override PartName="/word/charts/colors3.xml" ContentType="application/vnd.ms-office.chartcolorstyle+xml"/>
  <Override PartName="/word/charts/style3.xml" ContentType="application/vnd.ms-office.chartstyl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9938E" w14:textId="308646C6" w:rsidR="00E95D35" w:rsidRPr="00E95D35" w:rsidRDefault="00E95D35" w:rsidP="00E95D35">
      <w:pPr>
        <w:spacing w:after="0"/>
        <w:jc w:val="right"/>
        <w:rPr>
          <w:i/>
          <w:sz w:val="32"/>
        </w:rPr>
      </w:pPr>
      <w:bookmarkStart w:id="0" w:name="_GoBack"/>
      <w:bookmarkEnd w:id="0"/>
      <w:r>
        <w:rPr>
          <w:i/>
          <w:sz w:val="32"/>
        </w:rPr>
        <w:t>Written Report Only</w:t>
      </w:r>
    </w:p>
    <w:p w14:paraId="0365D659" w14:textId="003D105E" w:rsidR="00B022FC" w:rsidRDefault="00B022FC" w:rsidP="00B25A0B">
      <w:pPr>
        <w:spacing w:after="0"/>
        <w:jc w:val="center"/>
        <w:rPr>
          <w:b/>
          <w:sz w:val="32"/>
        </w:rPr>
      </w:pPr>
      <w:r>
        <w:rPr>
          <w:b/>
          <w:sz w:val="32"/>
        </w:rPr>
        <w:t xml:space="preserve">University of Missouri </w:t>
      </w:r>
      <w:r w:rsidR="0071319A">
        <w:rPr>
          <w:b/>
          <w:sz w:val="32"/>
        </w:rPr>
        <w:t xml:space="preserve">System </w:t>
      </w:r>
      <w:r w:rsidR="00943A30">
        <w:rPr>
          <w:b/>
          <w:sz w:val="32"/>
        </w:rPr>
        <w:t>Annual Benefits Report</w:t>
      </w:r>
    </w:p>
    <w:p w14:paraId="5EBAF6F1" w14:textId="6645B63F" w:rsidR="00D66FD6" w:rsidRDefault="005A044C" w:rsidP="00B25A0B">
      <w:pPr>
        <w:spacing w:after="0"/>
        <w:jc w:val="center"/>
        <w:rPr>
          <w:b/>
          <w:sz w:val="32"/>
        </w:rPr>
      </w:pPr>
      <w:r>
        <w:rPr>
          <w:b/>
          <w:sz w:val="32"/>
        </w:rPr>
        <w:t>April 2019</w:t>
      </w:r>
    </w:p>
    <w:p w14:paraId="693DF6E6" w14:textId="514F0716" w:rsidR="00B25A0B" w:rsidRPr="00C41541" w:rsidRDefault="00B25A0B" w:rsidP="00B022FC">
      <w:pPr>
        <w:rPr>
          <w:b/>
          <w:color w:val="FF0000"/>
        </w:rPr>
      </w:pPr>
    </w:p>
    <w:p w14:paraId="570C54CB" w14:textId="723562FE" w:rsidR="00677663" w:rsidRDefault="00AE7CF5" w:rsidP="00B022FC">
      <w:r>
        <w:t xml:space="preserve">This annual benefits report is provided to the </w:t>
      </w:r>
      <w:r w:rsidR="0071319A">
        <w:t xml:space="preserve">University of Missouri </w:t>
      </w:r>
      <w:r>
        <w:t>Board of Curators pursuant to Section 520.010 of the Collected Rules &amp; Regulations.</w:t>
      </w:r>
      <w:r w:rsidR="0071319A">
        <w:t xml:space="preserve"> </w:t>
      </w:r>
      <w:r>
        <w:t>The foll</w:t>
      </w:r>
      <w:r w:rsidR="004020BC">
        <w:t xml:space="preserve">owing highlights are included: </w:t>
      </w:r>
      <w:r w:rsidRPr="005A044C">
        <w:t>c</w:t>
      </w:r>
      <w:r w:rsidR="00B022FC" w:rsidRPr="005A044C">
        <w:t>hanges in medical cost</w:t>
      </w:r>
      <w:r w:rsidRPr="005A044C">
        <w:t>s</w:t>
      </w:r>
      <w:r w:rsidR="00B022FC" w:rsidRPr="005A044C">
        <w:t xml:space="preserve"> and contributions to the medical plans</w:t>
      </w:r>
      <w:r w:rsidR="0071319A" w:rsidRPr="005A044C">
        <w:t xml:space="preserve">; </w:t>
      </w:r>
      <w:r w:rsidR="00B022FC" w:rsidRPr="005A044C">
        <w:t>current trends and market analysis for medical and retirement plans</w:t>
      </w:r>
      <w:r w:rsidR="0071319A" w:rsidRPr="005A044C">
        <w:t xml:space="preserve">; </w:t>
      </w:r>
      <w:r w:rsidR="00B022FC" w:rsidRPr="005A044C">
        <w:t>and future steps to ensure competitive advantage for recruitm</w:t>
      </w:r>
      <w:r w:rsidR="00A77B35" w:rsidRPr="005A044C">
        <w:t>ent and retention of top talent</w:t>
      </w:r>
      <w:r w:rsidR="00677663" w:rsidRPr="005A044C">
        <w:t>.</w:t>
      </w:r>
      <w:r w:rsidR="0071319A">
        <w:t xml:space="preserve"> </w:t>
      </w:r>
    </w:p>
    <w:p w14:paraId="0F1DE6CF" w14:textId="4EC31513" w:rsidR="00B022FC" w:rsidRDefault="005A044C" w:rsidP="00B022FC">
      <w:r>
        <w:t xml:space="preserve">The Total </w:t>
      </w:r>
      <w:r w:rsidR="00B022FC" w:rsidRPr="00B022FC">
        <w:t xml:space="preserve">Rewards </w:t>
      </w:r>
      <w:r>
        <w:t xml:space="preserve">Advisory Committee (TRAC), </w:t>
      </w:r>
      <w:r w:rsidR="0044132D" w:rsidRPr="00A85320">
        <w:t>comprised of a faculty and a staff member from each campus, a hospital representati</w:t>
      </w:r>
      <w:r>
        <w:t xml:space="preserve">ve and a retiree representative, continues to be actively engaged in benefit, retirement, compensation and policy analysis, discussions and advancements for the University of Missouri. It is through this valued and trusted partnership that TRAC has </w:t>
      </w:r>
      <w:r w:rsidR="00B25A0B">
        <w:t>a</w:t>
      </w:r>
      <w:r>
        <w:t xml:space="preserve">ssisted </w:t>
      </w:r>
      <w:r w:rsidR="00B25A0B">
        <w:t>in</w:t>
      </w:r>
      <w:r w:rsidR="00B022FC" w:rsidRPr="00B022FC">
        <w:t xml:space="preserve"> several major initiatives through input, support and feedback. Collaboration </w:t>
      </w:r>
      <w:r w:rsidR="00B909A5">
        <w:t xml:space="preserve">and </w:t>
      </w:r>
      <w:r w:rsidR="00677663">
        <w:t>shared gov</w:t>
      </w:r>
      <w:r w:rsidR="00B022FC" w:rsidRPr="00B022FC">
        <w:t xml:space="preserve">ernance between TRAC and Human Resources </w:t>
      </w:r>
      <w:r>
        <w:t>continues to be essential</w:t>
      </w:r>
      <w:r w:rsidR="00B022FC" w:rsidRPr="00B022FC">
        <w:t xml:space="preserve"> as we review benefit and retirement plan offerings</w:t>
      </w:r>
      <w:r w:rsidR="00B25A0B">
        <w:t xml:space="preserve"> in the years to come</w:t>
      </w:r>
      <w:r w:rsidR="00B022FC" w:rsidRPr="00B022FC">
        <w:t>.</w:t>
      </w:r>
      <w:r w:rsidR="00B022FC">
        <w:t xml:space="preserve"> </w:t>
      </w:r>
    </w:p>
    <w:p w14:paraId="6951199C" w14:textId="77777777" w:rsidR="00B25A0B" w:rsidRDefault="00B25A0B">
      <w:pPr>
        <w:spacing w:line="259" w:lineRule="auto"/>
      </w:pPr>
    </w:p>
    <w:p w14:paraId="471C814A" w14:textId="77777777" w:rsidR="00B25A0B" w:rsidRDefault="00B25A0B">
      <w:pPr>
        <w:spacing w:line="259" w:lineRule="auto"/>
      </w:pPr>
    </w:p>
    <w:p w14:paraId="482B644E" w14:textId="77777777" w:rsidR="00B25A0B" w:rsidRDefault="00B25A0B">
      <w:pPr>
        <w:spacing w:line="259" w:lineRule="auto"/>
      </w:pPr>
    </w:p>
    <w:p w14:paraId="0CA92C69" w14:textId="77777777" w:rsidR="00B25A0B" w:rsidRDefault="00B25A0B">
      <w:pPr>
        <w:spacing w:line="259" w:lineRule="auto"/>
      </w:pPr>
    </w:p>
    <w:p w14:paraId="06737714" w14:textId="75CF33D0" w:rsidR="00D66FD6" w:rsidRDefault="00D66FD6" w:rsidP="00B022FC"/>
    <w:p w14:paraId="2903B504" w14:textId="77777777" w:rsidR="00943A30" w:rsidRDefault="00943A30" w:rsidP="00B022FC"/>
    <w:p w14:paraId="5DC172E0" w14:textId="78F9A3AB" w:rsidR="00B25A0B" w:rsidRDefault="00B25A0B" w:rsidP="00B022FC"/>
    <w:p w14:paraId="1C08C4BE" w14:textId="18C9DDF3" w:rsidR="00B25A0B" w:rsidRDefault="00B25A0B" w:rsidP="00B022FC"/>
    <w:p w14:paraId="135484A7" w14:textId="68DB6766" w:rsidR="00B25A0B" w:rsidRDefault="00B25A0B" w:rsidP="00B022FC"/>
    <w:p w14:paraId="441AA75F" w14:textId="44BB6A8F" w:rsidR="00943A30" w:rsidRDefault="00943A30">
      <w:pPr>
        <w:spacing w:line="259" w:lineRule="auto"/>
      </w:pPr>
      <w:r>
        <w:br w:type="page"/>
      </w:r>
    </w:p>
    <w:p w14:paraId="64F3C8AA" w14:textId="77777777" w:rsidR="00B25A0B" w:rsidRDefault="00B25A0B" w:rsidP="00B022FC"/>
    <w:sdt>
      <w:sdtPr>
        <w:rPr>
          <w:rFonts w:asciiTheme="minorHAnsi" w:eastAsiaTheme="minorHAnsi" w:hAnsiTheme="minorHAnsi" w:cstheme="minorBidi"/>
          <w:color w:val="auto"/>
          <w:sz w:val="22"/>
          <w:szCs w:val="22"/>
        </w:rPr>
        <w:id w:val="228195396"/>
        <w:docPartObj>
          <w:docPartGallery w:val="Table of Contents"/>
          <w:docPartUnique/>
        </w:docPartObj>
      </w:sdtPr>
      <w:sdtEndPr>
        <w:rPr>
          <w:b/>
          <w:bCs/>
          <w:noProof/>
        </w:rPr>
      </w:sdtEndPr>
      <w:sdtContent>
        <w:p w14:paraId="2F4615AA" w14:textId="7E7B668A" w:rsidR="006D6E79" w:rsidRDefault="006D6E79">
          <w:pPr>
            <w:pStyle w:val="TOCHeading"/>
          </w:pPr>
          <w:r>
            <w:t>Contents</w:t>
          </w:r>
        </w:p>
        <w:p w14:paraId="75C14730" w14:textId="7F194501" w:rsidR="003D21AB" w:rsidRDefault="0017087B">
          <w:pPr>
            <w:pStyle w:val="TOC1"/>
            <w:rPr>
              <w:rFonts w:eastAsiaTheme="minorEastAsia"/>
              <w:noProof/>
            </w:rPr>
          </w:pPr>
          <w:r>
            <w:fldChar w:fldCharType="begin"/>
          </w:r>
          <w:r>
            <w:instrText xml:space="preserve"> TOC \o "1-3" \n \h \z \u </w:instrText>
          </w:r>
          <w:r>
            <w:fldChar w:fldCharType="separate"/>
          </w:r>
          <w:hyperlink w:anchor="_Toc3878073" w:history="1">
            <w:r w:rsidR="003D21AB" w:rsidRPr="00F2276E">
              <w:rPr>
                <w:rStyle w:val="Hyperlink"/>
                <w:b/>
                <w:caps/>
                <w:noProof/>
              </w:rPr>
              <w:t>I.</w:t>
            </w:r>
            <w:r w:rsidR="003D21AB">
              <w:rPr>
                <w:rFonts w:eastAsiaTheme="minorEastAsia"/>
                <w:noProof/>
              </w:rPr>
              <w:tab/>
            </w:r>
            <w:r w:rsidR="003D21AB" w:rsidRPr="00F2276E">
              <w:rPr>
                <w:rStyle w:val="Hyperlink"/>
                <w:b/>
                <w:caps/>
                <w:noProof/>
              </w:rPr>
              <w:t>Benefit Costs</w:t>
            </w:r>
          </w:hyperlink>
        </w:p>
        <w:p w14:paraId="12D4FA18" w14:textId="51697B02" w:rsidR="003D21AB" w:rsidRDefault="00451984">
          <w:pPr>
            <w:pStyle w:val="TOC2"/>
            <w:rPr>
              <w:rFonts w:eastAsiaTheme="minorEastAsia"/>
              <w:noProof/>
            </w:rPr>
          </w:pPr>
          <w:hyperlink w:anchor="_Toc3878074" w:history="1">
            <w:r w:rsidR="003D21AB" w:rsidRPr="00F2276E">
              <w:rPr>
                <w:rStyle w:val="Hyperlink"/>
                <w:noProof/>
              </w:rPr>
              <w:t>A.</w:t>
            </w:r>
            <w:r w:rsidR="003D21AB">
              <w:rPr>
                <w:rFonts w:eastAsiaTheme="minorEastAsia"/>
                <w:noProof/>
              </w:rPr>
              <w:tab/>
            </w:r>
            <w:r w:rsidR="003D21AB" w:rsidRPr="00F2276E">
              <w:rPr>
                <w:rStyle w:val="Hyperlink"/>
                <w:noProof/>
              </w:rPr>
              <w:t>OVERVIEW</w:t>
            </w:r>
          </w:hyperlink>
        </w:p>
        <w:p w14:paraId="0F8B35BA" w14:textId="725C16C9" w:rsidR="003D21AB" w:rsidRDefault="00451984">
          <w:pPr>
            <w:pStyle w:val="TOC2"/>
            <w:rPr>
              <w:rFonts w:eastAsiaTheme="minorEastAsia"/>
              <w:noProof/>
            </w:rPr>
          </w:pPr>
          <w:hyperlink w:anchor="_Toc3878075" w:history="1">
            <w:r w:rsidR="003D21AB" w:rsidRPr="00F2276E">
              <w:rPr>
                <w:rStyle w:val="Hyperlink"/>
                <w:caps/>
                <w:noProof/>
              </w:rPr>
              <w:t>b.</w:t>
            </w:r>
            <w:r w:rsidR="003D21AB">
              <w:rPr>
                <w:rFonts w:eastAsiaTheme="minorEastAsia"/>
                <w:noProof/>
              </w:rPr>
              <w:tab/>
            </w:r>
            <w:r w:rsidR="003D21AB" w:rsidRPr="00F2276E">
              <w:rPr>
                <w:rStyle w:val="Hyperlink"/>
                <w:noProof/>
              </w:rPr>
              <w:t>UNIVERSITY CONTRIBUTIONS TO BENEFIT PLANS</w:t>
            </w:r>
          </w:hyperlink>
        </w:p>
        <w:p w14:paraId="6A98CD3A" w14:textId="0FEAD0A2" w:rsidR="003D21AB" w:rsidRDefault="00451984">
          <w:pPr>
            <w:pStyle w:val="TOC2"/>
            <w:rPr>
              <w:rFonts w:eastAsiaTheme="minorEastAsia"/>
              <w:noProof/>
            </w:rPr>
          </w:pPr>
          <w:hyperlink w:anchor="_Toc3878076" w:history="1">
            <w:r w:rsidR="003D21AB" w:rsidRPr="00F2276E">
              <w:rPr>
                <w:rStyle w:val="Hyperlink"/>
                <w:noProof/>
              </w:rPr>
              <w:t>C.</w:t>
            </w:r>
            <w:r w:rsidR="003D21AB">
              <w:rPr>
                <w:rFonts w:eastAsiaTheme="minorEastAsia"/>
                <w:noProof/>
              </w:rPr>
              <w:tab/>
            </w:r>
            <w:r w:rsidR="003D21AB" w:rsidRPr="00F2276E">
              <w:rPr>
                <w:rStyle w:val="Hyperlink"/>
                <w:noProof/>
              </w:rPr>
              <w:t>CHANGE IN BENEFIT COST ALLOCATION</w:t>
            </w:r>
          </w:hyperlink>
        </w:p>
        <w:p w14:paraId="03060DCE" w14:textId="017D1414" w:rsidR="003D21AB" w:rsidRDefault="00451984">
          <w:pPr>
            <w:pStyle w:val="TOC1"/>
            <w:rPr>
              <w:rFonts w:eastAsiaTheme="minorEastAsia"/>
              <w:noProof/>
            </w:rPr>
          </w:pPr>
          <w:hyperlink w:anchor="_Toc3878077" w:history="1">
            <w:r w:rsidR="003D21AB" w:rsidRPr="00F2276E">
              <w:rPr>
                <w:rStyle w:val="Hyperlink"/>
                <w:b/>
                <w:caps/>
                <w:noProof/>
              </w:rPr>
              <w:t>II.</w:t>
            </w:r>
            <w:r w:rsidR="003D21AB">
              <w:rPr>
                <w:rFonts w:eastAsiaTheme="minorEastAsia"/>
                <w:noProof/>
              </w:rPr>
              <w:tab/>
            </w:r>
            <w:r w:rsidR="003D21AB" w:rsidRPr="00F2276E">
              <w:rPr>
                <w:rStyle w:val="Hyperlink"/>
                <w:b/>
                <w:noProof/>
              </w:rPr>
              <w:t>HEALTH BENEFITS</w:t>
            </w:r>
          </w:hyperlink>
        </w:p>
        <w:p w14:paraId="1A4C423F" w14:textId="311121EB" w:rsidR="003D21AB" w:rsidRDefault="00451984">
          <w:pPr>
            <w:pStyle w:val="TOC2"/>
            <w:rPr>
              <w:rFonts w:eastAsiaTheme="minorEastAsia"/>
              <w:noProof/>
            </w:rPr>
          </w:pPr>
          <w:hyperlink w:anchor="_Toc3878078" w:history="1">
            <w:r w:rsidR="003D21AB" w:rsidRPr="00F2276E">
              <w:rPr>
                <w:rStyle w:val="Hyperlink"/>
                <w:noProof/>
              </w:rPr>
              <w:t>A.</w:t>
            </w:r>
            <w:r w:rsidR="003D21AB">
              <w:rPr>
                <w:rFonts w:eastAsiaTheme="minorEastAsia"/>
                <w:noProof/>
              </w:rPr>
              <w:tab/>
            </w:r>
            <w:r w:rsidR="003D21AB" w:rsidRPr="00F2276E">
              <w:rPr>
                <w:rStyle w:val="Hyperlink"/>
                <w:noProof/>
              </w:rPr>
              <w:t>OVERVIEW</w:t>
            </w:r>
          </w:hyperlink>
        </w:p>
        <w:p w14:paraId="7A963D62" w14:textId="647A31FC" w:rsidR="003D21AB" w:rsidRDefault="00451984">
          <w:pPr>
            <w:pStyle w:val="TOC2"/>
            <w:rPr>
              <w:rFonts w:eastAsiaTheme="minorEastAsia"/>
              <w:noProof/>
            </w:rPr>
          </w:pPr>
          <w:hyperlink w:anchor="_Toc3878079" w:history="1">
            <w:r w:rsidR="003D21AB" w:rsidRPr="00F2276E">
              <w:rPr>
                <w:rStyle w:val="Hyperlink"/>
                <w:rFonts w:cstheme="minorHAnsi"/>
                <w:noProof/>
              </w:rPr>
              <w:t>B.</w:t>
            </w:r>
            <w:r w:rsidR="003D21AB">
              <w:rPr>
                <w:rFonts w:eastAsiaTheme="minorEastAsia"/>
                <w:noProof/>
              </w:rPr>
              <w:tab/>
            </w:r>
            <w:r w:rsidR="003D21AB" w:rsidRPr="00F2276E">
              <w:rPr>
                <w:rStyle w:val="Hyperlink"/>
                <w:rFonts w:cstheme="minorHAnsi"/>
                <w:noProof/>
              </w:rPr>
              <w:t>CLAIMS AND PHARMACEUTICAL TRENDS</w:t>
            </w:r>
          </w:hyperlink>
        </w:p>
        <w:p w14:paraId="70BDC8EB" w14:textId="297FA2EA" w:rsidR="003D21AB" w:rsidRDefault="00451984">
          <w:pPr>
            <w:pStyle w:val="TOC2"/>
            <w:rPr>
              <w:rFonts w:eastAsiaTheme="minorEastAsia"/>
              <w:noProof/>
            </w:rPr>
          </w:pPr>
          <w:hyperlink w:anchor="_Toc3878080" w:history="1">
            <w:r w:rsidR="003D21AB" w:rsidRPr="00F2276E">
              <w:rPr>
                <w:rStyle w:val="Hyperlink"/>
                <w:noProof/>
              </w:rPr>
              <w:t>C.</w:t>
            </w:r>
            <w:r w:rsidR="003D21AB">
              <w:rPr>
                <w:rFonts w:eastAsiaTheme="minorEastAsia"/>
                <w:noProof/>
              </w:rPr>
              <w:tab/>
            </w:r>
            <w:r w:rsidR="003D21AB" w:rsidRPr="00F2276E">
              <w:rPr>
                <w:rStyle w:val="Hyperlink"/>
                <w:noProof/>
              </w:rPr>
              <w:t>TOP FIVE COST DRIVERS IN 2018</w:t>
            </w:r>
          </w:hyperlink>
        </w:p>
        <w:p w14:paraId="3BD1C400" w14:textId="42B1F214" w:rsidR="003D21AB" w:rsidRDefault="00451984">
          <w:pPr>
            <w:pStyle w:val="TOC2"/>
            <w:rPr>
              <w:rFonts w:eastAsiaTheme="minorEastAsia"/>
              <w:noProof/>
            </w:rPr>
          </w:pPr>
          <w:hyperlink w:anchor="_Toc3878081" w:history="1">
            <w:r w:rsidR="003D21AB" w:rsidRPr="00F2276E">
              <w:rPr>
                <w:rStyle w:val="Hyperlink"/>
                <w:rFonts w:cstheme="minorHAnsi"/>
                <w:noProof/>
              </w:rPr>
              <w:t>D.</w:t>
            </w:r>
            <w:r w:rsidR="003D21AB">
              <w:rPr>
                <w:rFonts w:eastAsiaTheme="minorEastAsia"/>
                <w:noProof/>
              </w:rPr>
              <w:tab/>
            </w:r>
            <w:r w:rsidR="003D21AB" w:rsidRPr="00F2276E">
              <w:rPr>
                <w:rStyle w:val="Hyperlink"/>
                <w:rFonts w:cstheme="minorHAnsi"/>
                <w:noProof/>
              </w:rPr>
              <w:t>KEY STEPS TO MANAGE PLAN COST</w:t>
            </w:r>
          </w:hyperlink>
        </w:p>
        <w:p w14:paraId="79590BBD" w14:textId="149ABDCB" w:rsidR="003D21AB" w:rsidRDefault="00451984">
          <w:pPr>
            <w:pStyle w:val="TOC1"/>
            <w:rPr>
              <w:rFonts w:eastAsiaTheme="minorEastAsia"/>
              <w:noProof/>
            </w:rPr>
          </w:pPr>
          <w:hyperlink w:anchor="_Toc3878082" w:history="1">
            <w:r w:rsidR="003D21AB" w:rsidRPr="00F2276E">
              <w:rPr>
                <w:rStyle w:val="Hyperlink"/>
                <w:b/>
                <w:noProof/>
              </w:rPr>
              <w:t>III.</w:t>
            </w:r>
            <w:r w:rsidR="003D21AB">
              <w:rPr>
                <w:rFonts w:eastAsiaTheme="minorEastAsia"/>
                <w:noProof/>
              </w:rPr>
              <w:tab/>
            </w:r>
            <w:r w:rsidR="003D21AB" w:rsidRPr="00F2276E">
              <w:rPr>
                <w:rStyle w:val="Hyperlink"/>
                <w:rFonts w:cstheme="minorHAnsi"/>
                <w:b/>
                <w:noProof/>
              </w:rPr>
              <w:t>PREMIUMS IMPLEMENTED IN 2019</w:t>
            </w:r>
          </w:hyperlink>
        </w:p>
        <w:p w14:paraId="68244665" w14:textId="52889487" w:rsidR="003D21AB" w:rsidRDefault="00451984">
          <w:pPr>
            <w:pStyle w:val="TOC1"/>
            <w:rPr>
              <w:rFonts w:eastAsiaTheme="minorEastAsia"/>
              <w:noProof/>
            </w:rPr>
          </w:pPr>
          <w:hyperlink w:anchor="_Toc3878083" w:history="1">
            <w:r w:rsidR="003D21AB" w:rsidRPr="00F2276E">
              <w:rPr>
                <w:rStyle w:val="Hyperlink"/>
                <w:b/>
                <w:noProof/>
              </w:rPr>
              <w:t>IV.</w:t>
            </w:r>
            <w:r w:rsidR="003D21AB">
              <w:rPr>
                <w:rFonts w:eastAsiaTheme="minorEastAsia"/>
                <w:noProof/>
              </w:rPr>
              <w:tab/>
            </w:r>
            <w:r w:rsidR="003D21AB" w:rsidRPr="00F2276E">
              <w:rPr>
                <w:rStyle w:val="Hyperlink"/>
                <w:b/>
                <w:noProof/>
              </w:rPr>
              <w:t>RETIREMENT PLANS FINANCIAL IMPACT</w:t>
            </w:r>
          </w:hyperlink>
        </w:p>
        <w:p w14:paraId="52AD90E5" w14:textId="6F0F97BC" w:rsidR="003D21AB" w:rsidRDefault="00451984">
          <w:pPr>
            <w:pStyle w:val="TOC1"/>
            <w:rPr>
              <w:rFonts w:eastAsiaTheme="minorEastAsia"/>
              <w:noProof/>
            </w:rPr>
          </w:pPr>
          <w:hyperlink w:anchor="_Toc3878084" w:history="1">
            <w:r w:rsidR="003D21AB" w:rsidRPr="00F2276E">
              <w:rPr>
                <w:rStyle w:val="Hyperlink"/>
                <w:b/>
                <w:noProof/>
              </w:rPr>
              <w:t>VI.</w:t>
            </w:r>
            <w:r w:rsidR="003D21AB">
              <w:rPr>
                <w:rFonts w:eastAsiaTheme="minorEastAsia"/>
                <w:noProof/>
              </w:rPr>
              <w:tab/>
            </w:r>
            <w:r w:rsidR="003D21AB" w:rsidRPr="00F2276E">
              <w:rPr>
                <w:rStyle w:val="Hyperlink"/>
                <w:b/>
                <w:noProof/>
              </w:rPr>
              <w:t>STRATEGIC DIRECTION</w:t>
            </w:r>
          </w:hyperlink>
        </w:p>
        <w:p w14:paraId="679C72DC" w14:textId="726CE13B" w:rsidR="003D21AB" w:rsidRDefault="00451984">
          <w:pPr>
            <w:pStyle w:val="TOC1"/>
            <w:rPr>
              <w:rFonts w:eastAsiaTheme="minorEastAsia"/>
              <w:noProof/>
            </w:rPr>
          </w:pPr>
          <w:hyperlink w:anchor="_Toc3878085" w:history="1">
            <w:r w:rsidR="003D21AB" w:rsidRPr="00F2276E">
              <w:rPr>
                <w:rStyle w:val="Hyperlink"/>
                <w:b/>
                <w:noProof/>
              </w:rPr>
              <w:t>VII.</w:t>
            </w:r>
            <w:r w:rsidR="003D21AB">
              <w:rPr>
                <w:rFonts w:eastAsiaTheme="minorEastAsia"/>
                <w:noProof/>
              </w:rPr>
              <w:tab/>
            </w:r>
            <w:r w:rsidR="003D21AB" w:rsidRPr="00F2276E">
              <w:rPr>
                <w:rStyle w:val="Hyperlink"/>
                <w:b/>
                <w:noProof/>
              </w:rPr>
              <w:t>ATTACHMENTS</w:t>
            </w:r>
          </w:hyperlink>
        </w:p>
        <w:p w14:paraId="77EF61AC" w14:textId="45538885" w:rsidR="003D21AB" w:rsidRDefault="00451984">
          <w:pPr>
            <w:pStyle w:val="TOC2"/>
            <w:rPr>
              <w:rFonts w:eastAsiaTheme="minorEastAsia"/>
              <w:noProof/>
            </w:rPr>
          </w:pPr>
          <w:hyperlink w:anchor="_Toc3878086" w:history="1">
            <w:r w:rsidR="003D21AB" w:rsidRPr="00F2276E">
              <w:rPr>
                <w:rStyle w:val="Hyperlink"/>
                <w:noProof/>
              </w:rPr>
              <w:t>A.</w:t>
            </w:r>
            <w:r w:rsidR="003D21AB">
              <w:rPr>
                <w:rFonts w:eastAsiaTheme="minorEastAsia"/>
                <w:noProof/>
              </w:rPr>
              <w:tab/>
            </w:r>
            <w:r w:rsidR="003D21AB" w:rsidRPr="00F2276E">
              <w:rPr>
                <w:rStyle w:val="Hyperlink"/>
                <w:noProof/>
              </w:rPr>
              <w:t>BENEFIT SUMMARY PLAN DOCUMENT CHANGE COMPARISON 18-19</w:t>
            </w:r>
          </w:hyperlink>
        </w:p>
        <w:p w14:paraId="3582F813" w14:textId="67164FC7" w:rsidR="003D21AB" w:rsidRDefault="00451984">
          <w:pPr>
            <w:pStyle w:val="TOC2"/>
            <w:rPr>
              <w:rFonts w:eastAsiaTheme="minorEastAsia"/>
              <w:noProof/>
            </w:rPr>
          </w:pPr>
          <w:hyperlink w:anchor="_Toc3878087" w:history="1">
            <w:r w:rsidR="003D21AB" w:rsidRPr="00F2276E">
              <w:rPr>
                <w:rStyle w:val="Hyperlink"/>
                <w:bCs/>
                <w:noProof/>
              </w:rPr>
              <w:t>B.</w:t>
            </w:r>
            <w:r w:rsidR="003D21AB">
              <w:rPr>
                <w:rFonts w:eastAsiaTheme="minorEastAsia"/>
                <w:noProof/>
              </w:rPr>
              <w:tab/>
            </w:r>
            <w:r w:rsidR="003D21AB" w:rsidRPr="00F2276E">
              <w:rPr>
                <w:rStyle w:val="Hyperlink"/>
                <w:bCs/>
                <w:noProof/>
              </w:rPr>
              <w:t>RETIREMENT, DISABILITY, AND DEATH BENEFIT PLAN ACTUARIAL REPORT</w:t>
            </w:r>
          </w:hyperlink>
        </w:p>
        <w:p w14:paraId="2EB9F6FF" w14:textId="2876EF26" w:rsidR="006D6E79" w:rsidRDefault="0017087B">
          <w:r>
            <w:fldChar w:fldCharType="end"/>
          </w:r>
        </w:p>
      </w:sdtContent>
    </w:sdt>
    <w:p w14:paraId="1ABE2BA6" w14:textId="0B3413EB" w:rsidR="00BB33F1" w:rsidRDefault="00BB33F1" w:rsidP="00880E79">
      <w:pPr>
        <w:pStyle w:val="ListParagraph"/>
        <w:rPr>
          <w:b/>
          <w:caps/>
          <w:sz w:val="28"/>
          <w:u w:val="single"/>
        </w:rPr>
      </w:pPr>
    </w:p>
    <w:p w14:paraId="67ECD90A" w14:textId="4F335474" w:rsidR="00BB33F1" w:rsidRDefault="00BB33F1" w:rsidP="00880E79">
      <w:pPr>
        <w:pStyle w:val="ListParagraph"/>
        <w:rPr>
          <w:b/>
          <w:caps/>
          <w:sz w:val="28"/>
          <w:u w:val="single"/>
        </w:rPr>
      </w:pPr>
    </w:p>
    <w:p w14:paraId="7F3BC48C" w14:textId="18313118" w:rsidR="00BB33F1" w:rsidRDefault="00BB33F1" w:rsidP="00880E79">
      <w:pPr>
        <w:pStyle w:val="ListParagraph"/>
        <w:rPr>
          <w:b/>
          <w:caps/>
          <w:sz w:val="28"/>
          <w:u w:val="single"/>
        </w:rPr>
      </w:pPr>
    </w:p>
    <w:p w14:paraId="323521F6" w14:textId="3C6815EB" w:rsidR="00BB33F1" w:rsidRDefault="00BB33F1" w:rsidP="00880E79">
      <w:pPr>
        <w:pStyle w:val="ListParagraph"/>
        <w:rPr>
          <w:b/>
          <w:caps/>
          <w:sz w:val="28"/>
          <w:u w:val="single"/>
        </w:rPr>
      </w:pPr>
    </w:p>
    <w:p w14:paraId="001D9B70" w14:textId="2F632F59" w:rsidR="00BB33F1" w:rsidRDefault="00BB33F1" w:rsidP="00880E79">
      <w:pPr>
        <w:pStyle w:val="ListParagraph"/>
        <w:rPr>
          <w:b/>
          <w:caps/>
          <w:sz w:val="28"/>
          <w:u w:val="single"/>
        </w:rPr>
      </w:pPr>
    </w:p>
    <w:p w14:paraId="0B1C2C79" w14:textId="466E9851" w:rsidR="00BB33F1" w:rsidRDefault="00BB33F1" w:rsidP="00880E79">
      <w:pPr>
        <w:pStyle w:val="ListParagraph"/>
        <w:rPr>
          <w:b/>
          <w:caps/>
          <w:sz w:val="28"/>
          <w:u w:val="single"/>
        </w:rPr>
      </w:pPr>
    </w:p>
    <w:p w14:paraId="1BD6265C" w14:textId="224400DE" w:rsidR="00943A30" w:rsidRDefault="00943A30">
      <w:pPr>
        <w:spacing w:line="259" w:lineRule="auto"/>
        <w:rPr>
          <w:b/>
          <w:caps/>
          <w:sz w:val="28"/>
          <w:u w:val="single"/>
        </w:rPr>
      </w:pPr>
      <w:r>
        <w:rPr>
          <w:b/>
          <w:caps/>
          <w:sz w:val="28"/>
          <w:u w:val="single"/>
        </w:rPr>
        <w:br w:type="page"/>
      </w:r>
    </w:p>
    <w:p w14:paraId="0B2C7FF4" w14:textId="668296CB" w:rsidR="00B022FC" w:rsidRDefault="00B022FC" w:rsidP="00BB33F1">
      <w:pPr>
        <w:pStyle w:val="ListParagraph"/>
        <w:numPr>
          <w:ilvl w:val="0"/>
          <w:numId w:val="1"/>
        </w:numPr>
        <w:outlineLvl w:val="0"/>
        <w:rPr>
          <w:b/>
          <w:caps/>
          <w:sz w:val="28"/>
          <w:u w:val="single"/>
        </w:rPr>
      </w:pPr>
      <w:bookmarkStart w:id="1" w:name="_Toc3878073"/>
      <w:r w:rsidRPr="00BB33F1">
        <w:rPr>
          <w:b/>
          <w:caps/>
          <w:sz w:val="28"/>
          <w:u w:val="single"/>
        </w:rPr>
        <w:lastRenderedPageBreak/>
        <w:t>Benefit Costs</w:t>
      </w:r>
      <w:bookmarkEnd w:id="1"/>
    </w:p>
    <w:p w14:paraId="3ADFD98A" w14:textId="2A43CC3C" w:rsidR="00F06BA1" w:rsidRDefault="00F06BA1" w:rsidP="005A044C">
      <w:pPr>
        <w:pStyle w:val="ListParagraph"/>
        <w:jc w:val="both"/>
        <w:outlineLvl w:val="0"/>
        <w:rPr>
          <w:b/>
          <w:caps/>
          <w:sz w:val="28"/>
          <w:u w:val="single"/>
        </w:rPr>
      </w:pPr>
    </w:p>
    <w:p w14:paraId="04D4E105" w14:textId="38478080" w:rsidR="00756771" w:rsidRPr="00F06BA1" w:rsidRDefault="00756771" w:rsidP="0063793D">
      <w:pPr>
        <w:pStyle w:val="ListParagraph"/>
        <w:numPr>
          <w:ilvl w:val="3"/>
          <w:numId w:val="1"/>
        </w:numPr>
        <w:outlineLvl w:val="1"/>
        <w:rPr>
          <w:sz w:val="24"/>
        </w:rPr>
      </w:pPr>
      <w:bookmarkStart w:id="2" w:name="_Toc3878074"/>
      <w:r w:rsidRPr="00F06BA1">
        <w:rPr>
          <w:sz w:val="24"/>
        </w:rPr>
        <w:t>OVERVIEW</w:t>
      </w:r>
      <w:bookmarkEnd w:id="2"/>
    </w:p>
    <w:p w14:paraId="79168FA1" w14:textId="30ECB2DE" w:rsidR="00C70325" w:rsidRDefault="00C70325" w:rsidP="00C70325">
      <w:r w:rsidRPr="00204AEC">
        <w:t xml:space="preserve">The primary drivers of </w:t>
      </w:r>
      <w:r>
        <w:t>the University’s benefit cost</w:t>
      </w:r>
      <w:r w:rsidRPr="00204AEC">
        <w:t xml:space="preserve"> are retirement, medical</w:t>
      </w:r>
      <w:r>
        <w:t>,</w:t>
      </w:r>
      <w:r w:rsidRPr="00204AEC">
        <w:t xml:space="preserve"> and retiree benefits</w:t>
      </w:r>
      <w:r w:rsidR="003C27B5">
        <w:t>,</w:t>
      </w:r>
      <w:r w:rsidRPr="00204AEC">
        <w:t xml:space="preserve"> which account for nearly 92% of the total cost of benefits.</w:t>
      </w:r>
      <w:r>
        <w:t xml:space="preserve"> </w:t>
      </w:r>
      <w:r w:rsidRPr="00B022FC">
        <w:t xml:space="preserve">Like many public sector employers, the University has </w:t>
      </w:r>
      <w:r>
        <w:t xml:space="preserve">experienced </w:t>
      </w:r>
      <w:r w:rsidRPr="00B022FC">
        <w:t>a steady increase in retirement and medical costs</w:t>
      </w:r>
      <w:r w:rsidR="003C27B5">
        <w:t>,</w:t>
      </w:r>
      <w:r w:rsidRPr="00B022FC">
        <w:t xml:space="preserve"> </w:t>
      </w:r>
      <w:r>
        <w:t xml:space="preserve">which </w:t>
      </w:r>
      <w:r w:rsidRPr="00B022FC">
        <w:t>outpaces the growth in both revenues and salaries.</w:t>
      </w:r>
      <w:r>
        <w:t xml:space="preserve"> </w:t>
      </w:r>
      <w:r w:rsidR="00E15347">
        <w:t>Engaging</w:t>
      </w:r>
      <w:r w:rsidR="00CD1418">
        <w:t xml:space="preserve"> TRAC</w:t>
      </w:r>
      <w:r>
        <w:t>, t</w:t>
      </w:r>
      <w:r w:rsidRPr="00B022FC">
        <w:t>he University has taken proactive steps to continue manag</w:t>
      </w:r>
      <w:r>
        <w:t xml:space="preserve">ing </w:t>
      </w:r>
      <w:r w:rsidRPr="00B022FC">
        <w:t>the</w:t>
      </w:r>
      <w:r>
        <w:t xml:space="preserve"> costs and sustainability of the benefits offered, while meeting current and future workforce needs. </w:t>
      </w:r>
    </w:p>
    <w:p w14:paraId="64E9C7D7" w14:textId="60FF962C" w:rsidR="00C70325" w:rsidRPr="00B022FC" w:rsidRDefault="00C70325" w:rsidP="003C27B5">
      <w:pPr>
        <w:jc w:val="center"/>
      </w:pPr>
      <w:r>
        <w:rPr>
          <w:noProof/>
        </w:rPr>
        <w:drawing>
          <wp:inline distT="0" distB="0" distL="0" distR="0" wp14:anchorId="2D384D9F" wp14:editId="254EF258">
            <wp:extent cx="6099786" cy="295902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A46F39" w14:textId="6767F465" w:rsidR="00C70325" w:rsidRPr="00F06BA1" w:rsidRDefault="00D80CC9" w:rsidP="00C70325">
      <w:pPr>
        <w:pStyle w:val="ListParagraph"/>
        <w:numPr>
          <w:ilvl w:val="1"/>
          <w:numId w:val="1"/>
        </w:numPr>
        <w:ind w:hanging="720"/>
        <w:outlineLvl w:val="1"/>
        <w:rPr>
          <w:b/>
          <w:caps/>
          <w:sz w:val="24"/>
          <w:szCs w:val="24"/>
          <w:u w:val="single"/>
        </w:rPr>
      </w:pPr>
      <w:bookmarkStart w:id="3" w:name="_Toc3878075"/>
      <w:r>
        <w:rPr>
          <w:sz w:val="24"/>
          <w:szCs w:val="24"/>
        </w:rPr>
        <w:t xml:space="preserve">UNIVERSITY </w:t>
      </w:r>
      <w:r w:rsidR="004E0279">
        <w:rPr>
          <w:sz w:val="24"/>
          <w:szCs w:val="24"/>
        </w:rPr>
        <w:t>CONTRIBUTIONS TO BENEFIT PLANS</w:t>
      </w:r>
      <w:bookmarkEnd w:id="3"/>
    </w:p>
    <w:p w14:paraId="7A4BE207" w14:textId="77777777" w:rsidR="00C70325" w:rsidRDefault="00C70325" w:rsidP="00C70325">
      <w:pPr>
        <w:pStyle w:val="ListParagraph"/>
        <w:ind w:left="0"/>
      </w:pPr>
    </w:p>
    <w:p w14:paraId="409F8BF2" w14:textId="77777777" w:rsidR="003D6F22" w:rsidRDefault="00D80CC9" w:rsidP="00C70325">
      <w:pPr>
        <w:pStyle w:val="ListParagraph"/>
        <w:ind w:left="0"/>
      </w:pPr>
      <w:r>
        <w:rPr>
          <w:noProof/>
        </w:rPr>
        <w:drawing>
          <wp:anchor distT="0" distB="0" distL="114300" distR="114300" simplePos="0" relativeHeight="251668480" behindDoc="1" locked="0" layoutInCell="1" allowOverlap="1" wp14:anchorId="35D21AAA" wp14:editId="13404254">
            <wp:simplePos x="0" y="0"/>
            <wp:positionH relativeFrom="column">
              <wp:posOffset>2805430</wp:posOffset>
            </wp:positionH>
            <wp:positionV relativeFrom="paragraph">
              <wp:posOffset>38735</wp:posOffset>
            </wp:positionV>
            <wp:extent cx="3270885" cy="2203450"/>
            <wp:effectExtent l="0" t="0" r="5715" b="6350"/>
            <wp:wrapTight wrapText="bothSides">
              <wp:wrapPolygon edited="0">
                <wp:start x="0" y="0"/>
                <wp:lineTo x="0" y="21476"/>
                <wp:lineTo x="21512" y="21476"/>
                <wp:lineTo x="21512"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70325" w:rsidRPr="00B022FC">
        <w:t>The University</w:t>
      </w:r>
      <w:r w:rsidR="00C70325">
        <w:t xml:space="preserve"> </w:t>
      </w:r>
      <w:r w:rsidR="00B76DEA">
        <w:t>makes</w:t>
      </w:r>
      <w:r w:rsidR="00AF33B4">
        <w:t xml:space="preserve"> employer</w:t>
      </w:r>
      <w:r w:rsidR="00B76DEA">
        <w:t xml:space="preserve"> contribution</w:t>
      </w:r>
      <w:r w:rsidR="00EF6402">
        <w:t>s</w:t>
      </w:r>
      <w:r w:rsidR="00B76DEA">
        <w:t xml:space="preserve"> </w:t>
      </w:r>
      <w:r>
        <w:t xml:space="preserve">on behalf of employees </w:t>
      </w:r>
      <w:r w:rsidR="00B76DEA">
        <w:t xml:space="preserve">into the </w:t>
      </w:r>
      <w:r w:rsidR="00FF2333">
        <w:t xml:space="preserve">benefit </w:t>
      </w:r>
      <w:r w:rsidR="00AF33B4">
        <w:t>plans offered</w:t>
      </w:r>
      <w:r w:rsidR="00FF2333">
        <w:t>.</w:t>
      </w:r>
      <w:r w:rsidR="00B76DEA">
        <w:t xml:space="preserve"> </w:t>
      </w:r>
      <w:r w:rsidR="00F557A9">
        <w:t xml:space="preserve">Between FY2014 and FY2018, the University’s contributions </w:t>
      </w:r>
      <w:r>
        <w:t xml:space="preserve">were relatively steady. </w:t>
      </w:r>
      <w:r w:rsidR="003D21AB">
        <w:t xml:space="preserve">Contributions stabilized as a result of two factors: investment returns on the pension hovered around the discount rate but never fully recovered from the 2008 financial crisis. Additionally, the University implemented the Custom Network Plan which held down medical costs. </w:t>
      </w:r>
      <w:r w:rsidR="00820B88">
        <w:t>However, the</w:t>
      </w:r>
      <w:r w:rsidR="00A90496">
        <w:t xml:space="preserve"> </w:t>
      </w:r>
      <w:r w:rsidR="00865DC7">
        <w:t xml:space="preserve">contributions </w:t>
      </w:r>
      <w:r w:rsidR="00A90496">
        <w:t xml:space="preserve">will increase in </w:t>
      </w:r>
      <w:r w:rsidR="00DB71BE">
        <w:t xml:space="preserve">FY19 and </w:t>
      </w:r>
      <w:r w:rsidR="00A90496">
        <w:t xml:space="preserve">FY20 as a part of the University’s long-term plan to manage benefit liabilities.  </w:t>
      </w:r>
    </w:p>
    <w:p w14:paraId="7F414BAA" w14:textId="08836DC4" w:rsidR="003D6F22" w:rsidRDefault="00D80CC9" w:rsidP="00C70325">
      <w:pPr>
        <w:pStyle w:val="ListParagraph"/>
        <w:ind w:left="0"/>
      </w:pPr>
      <w:r>
        <w:lastRenderedPageBreak/>
        <w:t xml:space="preserve">For FY19, the contributions </w:t>
      </w:r>
      <w:r w:rsidR="003C4E8F">
        <w:t>will</w:t>
      </w:r>
      <w:r>
        <w:t xml:space="preserve"> increase</w:t>
      </w:r>
      <w:r w:rsidR="00DB71BE">
        <w:t xml:space="preserve"> by </w:t>
      </w:r>
      <w:r w:rsidR="00394506">
        <w:t>$</w:t>
      </w:r>
      <w:r>
        <w:t>34</w:t>
      </w:r>
      <w:r w:rsidR="00394506">
        <w:t xml:space="preserve"> </w:t>
      </w:r>
      <w:r w:rsidR="00394506" w:rsidRPr="000D6E78">
        <w:t>million</w:t>
      </w:r>
      <w:r w:rsidR="00AF33B4">
        <w:t xml:space="preserve"> from FY18 a</w:t>
      </w:r>
      <w:r w:rsidR="00DB71BE" w:rsidRPr="000D6E78">
        <w:t>nd</w:t>
      </w:r>
      <w:r w:rsidR="00DB71BE">
        <w:t xml:space="preserve"> in FY20 </w:t>
      </w:r>
      <w:r w:rsidR="003C4E8F">
        <w:t>are projected to</w:t>
      </w:r>
      <w:r w:rsidR="00DB71BE">
        <w:t xml:space="preserve"> increase by </w:t>
      </w:r>
      <w:r w:rsidR="00394506">
        <w:t>$</w:t>
      </w:r>
      <w:r w:rsidR="00B76DEA">
        <w:t>11</w:t>
      </w:r>
      <w:r w:rsidR="0045316B">
        <w:t xml:space="preserve"> </w:t>
      </w:r>
      <w:r w:rsidR="00394506">
        <w:t>million.</w:t>
      </w:r>
      <w:r w:rsidR="00DB71BE">
        <w:t xml:space="preserve"> </w:t>
      </w:r>
      <w:r>
        <w:t>The majority, $23 million, of the FY19</w:t>
      </w:r>
      <w:r w:rsidR="003C4E8F">
        <w:t xml:space="preserve"> increase is driven by the</w:t>
      </w:r>
      <w:r w:rsidR="00A90496">
        <w:t xml:space="preserve"> decision to move the expected return assumption on the plan from 7.75% to 7.2%.  Moving the expected return assumption down cause</w:t>
      </w:r>
      <w:r w:rsidR="003C27B5">
        <w:t>d</w:t>
      </w:r>
      <w:r w:rsidR="00A90496">
        <w:t xml:space="preserve"> contributions into the plan to increase</w:t>
      </w:r>
      <w:r w:rsidR="003C4E8F">
        <w:t xml:space="preserve"> to fund future benefit payments</w:t>
      </w:r>
      <w:r w:rsidR="00A90496">
        <w:t>.</w:t>
      </w:r>
      <w:r w:rsidR="003C4E8F">
        <w:t xml:space="preserve">  Increasing contributions into the pension plan is a key component of controlling growth in the University’s unfunded liability.</w:t>
      </w:r>
      <w:r w:rsidR="00A90496">
        <w:t xml:space="preserve">  </w:t>
      </w:r>
      <w:r w:rsidR="00C70325">
        <w:t>Controlling</w:t>
      </w:r>
      <w:r w:rsidR="00C70325" w:rsidRPr="00B022FC">
        <w:t xml:space="preserve"> the retirement plan cost</w:t>
      </w:r>
      <w:r w:rsidR="00C70325">
        <w:t xml:space="preserve"> and future liabilities is a key piece of </w:t>
      </w:r>
      <w:r w:rsidR="00C70325" w:rsidRPr="00B022FC">
        <w:t>the retirement plan</w:t>
      </w:r>
      <w:r w:rsidR="001E5309">
        <w:t xml:space="preserve"> redesign</w:t>
      </w:r>
      <w:r w:rsidR="00C70325">
        <w:t>.</w:t>
      </w:r>
      <w:r w:rsidR="00A90496">
        <w:t xml:space="preserve">  </w:t>
      </w:r>
    </w:p>
    <w:p w14:paraId="4287FE52" w14:textId="77777777" w:rsidR="003D6F22" w:rsidRDefault="003D6F22" w:rsidP="00C70325">
      <w:pPr>
        <w:pStyle w:val="ListParagraph"/>
        <w:ind w:left="0"/>
      </w:pPr>
    </w:p>
    <w:p w14:paraId="4C2B1E5A" w14:textId="0700BE0F" w:rsidR="00C70325" w:rsidRDefault="00A90496" w:rsidP="00C70325">
      <w:pPr>
        <w:pStyle w:val="ListParagraph"/>
        <w:ind w:left="0"/>
      </w:pPr>
      <w:r>
        <w:t xml:space="preserve">The other </w:t>
      </w:r>
      <w:r w:rsidR="00D80CC9">
        <w:t>major cause of the</w:t>
      </w:r>
      <w:r>
        <w:t xml:space="preserve"> increase</w:t>
      </w:r>
      <w:r w:rsidR="00FF2333">
        <w:t xml:space="preserve"> in cost each year</w:t>
      </w:r>
      <w:r>
        <w:t xml:space="preserve"> is driven by </w:t>
      </w:r>
      <w:r w:rsidR="00AF33B4">
        <w:t xml:space="preserve">medical </w:t>
      </w:r>
      <w:r>
        <w:t xml:space="preserve">premium increases </w:t>
      </w:r>
      <w:r w:rsidR="00AF33B4">
        <w:t>contributed to the</w:t>
      </w:r>
      <w:r>
        <w:t xml:space="preserve"> University’s self-insured </w:t>
      </w:r>
      <w:r w:rsidR="00AF33B4">
        <w:t xml:space="preserve">medical </w:t>
      </w:r>
      <w:r>
        <w:t>plan</w:t>
      </w:r>
      <w:r w:rsidR="00FF2333">
        <w:t>s</w:t>
      </w:r>
      <w:r>
        <w:t xml:space="preserve">.  </w:t>
      </w:r>
      <w:r w:rsidRPr="000D6E78">
        <w:t xml:space="preserve">Over the past five years, the University has experienced a </w:t>
      </w:r>
      <w:r w:rsidR="00AF33B4" w:rsidRPr="000D6E78">
        <w:t>3</w:t>
      </w:r>
      <w:r w:rsidRPr="00FF2333">
        <w:t>%</w:t>
      </w:r>
      <w:r w:rsidR="00AF33B4">
        <w:t xml:space="preserve"> per covered member</w:t>
      </w:r>
      <w:r w:rsidRPr="000D6E78">
        <w:t xml:space="preserve"> trend rate in medical benefit</w:t>
      </w:r>
      <w:r w:rsidR="00820B88" w:rsidRPr="00FF2333">
        <w:t xml:space="preserve"> costs</w:t>
      </w:r>
      <w:r w:rsidRPr="00FF2333">
        <w:t xml:space="preserve">, </w:t>
      </w:r>
      <w:r w:rsidR="00AF33B4">
        <w:t xml:space="preserve">well </w:t>
      </w:r>
      <w:r w:rsidRPr="000D6E78">
        <w:t xml:space="preserve">below the national average of </w:t>
      </w:r>
      <w:r w:rsidR="00F96C3A" w:rsidRPr="00FF2333">
        <w:t>6</w:t>
      </w:r>
      <w:r w:rsidRPr="00FF2333">
        <w:t xml:space="preserve">%.  </w:t>
      </w:r>
      <w:r w:rsidR="00FF2333">
        <w:t>The change in r</w:t>
      </w:r>
      <w:r w:rsidR="00AF33B4">
        <w:t>etiree healthcare offerings</w:t>
      </w:r>
      <w:r w:rsidR="00FF2333">
        <w:t xml:space="preserve"> and the movement of </w:t>
      </w:r>
      <w:r w:rsidR="001A126E" w:rsidRPr="000D6E78">
        <w:t>employee</w:t>
      </w:r>
      <w:r w:rsidR="00FF2333">
        <w:t>s</w:t>
      </w:r>
      <w:r w:rsidRPr="000D6E78">
        <w:t xml:space="preserve"> into the Custom Network Plan </w:t>
      </w:r>
      <w:r w:rsidR="001A126E" w:rsidRPr="000D6E78">
        <w:t>drove most of the lower trend over the previous three years</w:t>
      </w:r>
      <w:r w:rsidR="00FF2333">
        <w:t xml:space="preserve">. However, </w:t>
      </w:r>
      <w:r w:rsidR="001A126E" w:rsidRPr="00FF2333">
        <w:t>that is not expected to carry forward into the future</w:t>
      </w:r>
      <w:r w:rsidR="003C4E8F">
        <w:t xml:space="preserve"> as the majority of eligible employees have migrated into the Custom Network Plan</w:t>
      </w:r>
      <w:r w:rsidR="001A126E" w:rsidRPr="00FF2333">
        <w:t>.</w:t>
      </w:r>
      <w:r w:rsidR="001A126E">
        <w:t xml:space="preserve">  </w:t>
      </w:r>
    </w:p>
    <w:p w14:paraId="43BB67CE" w14:textId="77777777" w:rsidR="00E15347" w:rsidRDefault="00E15347" w:rsidP="00C70325">
      <w:pPr>
        <w:pStyle w:val="ListParagraph"/>
        <w:ind w:left="0"/>
      </w:pPr>
    </w:p>
    <w:p w14:paraId="017FB721" w14:textId="77777777" w:rsidR="003D21AB" w:rsidRDefault="003D21AB" w:rsidP="003D21AB">
      <w:pPr>
        <w:pStyle w:val="ListParagraph"/>
        <w:ind w:left="0"/>
        <w:outlineLvl w:val="1"/>
      </w:pPr>
      <w:bookmarkStart w:id="4" w:name="_Toc3878076"/>
      <w:r>
        <w:t>C.</w:t>
      </w:r>
      <w:r>
        <w:tab/>
        <w:t>CHANGE IN BENEFIT COST ALLOCATION</w:t>
      </w:r>
      <w:bookmarkEnd w:id="4"/>
    </w:p>
    <w:p w14:paraId="1BA12E41" w14:textId="77777777" w:rsidR="003D21AB" w:rsidRDefault="003D21AB" w:rsidP="003D21AB">
      <w:pPr>
        <w:pStyle w:val="ListParagraph"/>
        <w:ind w:left="0"/>
      </w:pPr>
    </w:p>
    <w:p w14:paraId="11782F1C" w14:textId="23D5D4CC" w:rsidR="003D21AB" w:rsidRDefault="003D21AB" w:rsidP="003D21AB">
      <w:pPr>
        <w:pStyle w:val="ListParagraph"/>
        <w:ind w:left="0"/>
      </w:pPr>
      <w:r>
        <w:t>For FY20, the University will change the way it allocates benefit costs to departments.  In the past, the University utilized the “flat rate” to fund benefit plan contributions from budget holders.  The flat rate was calculated as the total expected benefit plan contributions for the year divided by the total salaries of benefit-eligible employees for that year.  Essentially, the flat rate assumed that salaries are the only driver of benefit costs.  In reality, medical and dental benefits have no relationship with salary and represent roughly half of total benefit costs.  To support better decision-making by budget holders, the University is implementing a two-component allocation process for benefits:</w:t>
      </w:r>
    </w:p>
    <w:p w14:paraId="5D514F6E" w14:textId="77777777" w:rsidR="003D21AB" w:rsidRDefault="003D21AB" w:rsidP="003D21AB">
      <w:pPr>
        <w:pStyle w:val="ListParagraph"/>
        <w:ind w:left="0"/>
      </w:pPr>
    </w:p>
    <w:p w14:paraId="4AB40CB1" w14:textId="5FB49FFD" w:rsidR="003D21AB" w:rsidRDefault="003D21AB" w:rsidP="003D21AB">
      <w:pPr>
        <w:pStyle w:val="ListParagraph"/>
        <w:numPr>
          <w:ilvl w:val="0"/>
          <w:numId w:val="38"/>
        </w:numPr>
      </w:pPr>
      <w:r>
        <w:t>Retirement, Long Term Disability, Life Insurance and other benefits that are a function of salary will continue to be charged as a percentage of pay; and</w:t>
      </w:r>
    </w:p>
    <w:p w14:paraId="5A234B58" w14:textId="77777777" w:rsidR="003D21AB" w:rsidRDefault="003D21AB" w:rsidP="003D21AB">
      <w:pPr>
        <w:pStyle w:val="ListParagraph"/>
      </w:pPr>
    </w:p>
    <w:p w14:paraId="7857B761" w14:textId="170E5AF1" w:rsidR="003D21AB" w:rsidRPr="00CA0518" w:rsidRDefault="003D21AB" w:rsidP="003D21AB">
      <w:pPr>
        <w:pStyle w:val="ListParagraph"/>
        <w:numPr>
          <w:ilvl w:val="0"/>
          <w:numId w:val="38"/>
        </w:numPr>
      </w:pPr>
      <w:r>
        <w:t>Medical and Dental costs will be charged per benefit eligible employee, at a single rate for all employees.</w:t>
      </w:r>
    </w:p>
    <w:p w14:paraId="5822FAEC" w14:textId="77777777" w:rsidR="003D21AB" w:rsidRDefault="003D21AB" w:rsidP="003D21AB">
      <w:pPr>
        <w:pStyle w:val="ListParagraph"/>
        <w:ind w:left="0"/>
      </w:pPr>
    </w:p>
    <w:p w14:paraId="51012525" w14:textId="77777777" w:rsidR="003D21AB" w:rsidRDefault="003D21AB" w:rsidP="003D21AB">
      <w:pPr>
        <w:pStyle w:val="ListParagraph"/>
        <w:ind w:left="0"/>
      </w:pPr>
      <w:r>
        <w:t>The change in benefit cost allocation will have the following benefits:</w:t>
      </w:r>
    </w:p>
    <w:p w14:paraId="33FAEE7C" w14:textId="29E57EC7" w:rsidR="003D21AB" w:rsidRDefault="003D21AB" w:rsidP="003D21AB">
      <w:pPr>
        <w:pStyle w:val="ListParagraph"/>
        <w:numPr>
          <w:ilvl w:val="0"/>
          <w:numId w:val="39"/>
        </w:numPr>
      </w:pPr>
      <w:r>
        <w:t>Helps managers understand that both size of workforce and workforce salary drive total compensation costs</w:t>
      </w:r>
    </w:p>
    <w:p w14:paraId="3C9BD00E" w14:textId="77777777" w:rsidR="003D21AB" w:rsidRDefault="003D21AB" w:rsidP="003D21AB">
      <w:pPr>
        <w:pStyle w:val="ListParagraph"/>
        <w:numPr>
          <w:ilvl w:val="0"/>
          <w:numId w:val="39"/>
        </w:numPr>
      </w:pPr>
      <w:r>
        <w:t>Decreases the incremental cost of giving raises (medical and dental costs no longer charged on salary)</w:t>
      </w:r>
    </w:p>
    <w:p w14:paraId="40898E17" w14:textId="77777777" w:rsidR="003D21AB" w:rsidRDefault="003D21AB" w:rsidP="003D21AB">
      <w:pPr>
        <w:pStyle w:val="ListParagraph"/>
        <w:numPr>
          <w:ilvl w:val="0"/>
          <w:numId w:val="39"/>
        </w:numPr>
      </w:pPr>
      <w:r>
        <w:t>Provides the University with greater transparency on the types of benefit cost that increase</w:t>
      </w:r>
    </w:p>
    <w:p w14:paraId="781CDC7F" w14:textId="25BF9083" w:rsidR="003D21AB" w:rsidRDefault="003D21AB" w:rsidP="003D21AB">
      <w:r>
        <w:t>The change in the benefit rates is a part of the University’s annual budget process for FY20, and each University will address this change through that standard process.</w:t>
      </w:r>
    </w:p>
    <w:p w14:paraId="1F55EF90" w14:textId="230DC83A" w:rsidR="00B022FC" w:rsidRDefault="00B022FC" w:rsidP="00B022FC">
      <w:pPr>
        <w:pStyle w:val="ListParagraph"/>
        <w:ind w:left="360"/>
        <w:outlineLvl w:val="0"/>
        <w:rPr>
          <w:caps/>
          <w:sz w:val="24"/>
          <w:u w:val="single"/>
        </w:rPr>
      </w:pPr>
    </w:p>
    <w:p w14:paraId="62C7250C" w14:textId="0CE51E3F" w:rsidR="003D21AB" w:rsidRDefault="003D21AB" w:rsidP="00B022FC">
      <w:pPr>
        <w:pStyle w:val="ListParagraph"/>
        <w:ind w:left="360"/>
        <w:outlineLvl w:val="0"/>
        <w:rPr>
          <w:caps/>
          <w:sz w:val="24"/>
          <w:u w:val="single"/>
        </w:rPr>
      </w:pPr>
    </w:p>
    <w:p w14:paraId="4CC6050B" w14:textId="57B2746C" w:rsidR="003D21AB" w:rsidRPr="003D21AB" w:rsidRDefault="003D21AB" w:rsidP="003D21AB">
      <w:pPr>
        <w:outlineLvl w:val="0"/>
        <w:rPr>
          <w:caps/>
          <w:sz w:val="24"/>
          <w:u w:val="single"/>
        </w:rPr>
      </w:pPr>
    </w:p>
    <w:p w14:paraId="3ED42AF9" w14:textId="6A924FB5" w:rsidR="00B022FC" w:rsidRPr="00F06BA1" w:rsidRDefault="00B022FC" w:rsidP="006D6E79">
      <w:pPr>
        <w:pStyle w:val="ListParagraph"/>
        <w:numPr>
          <w:ilvl w:val="0"/>
          <w:numId w:val="1"/>
        </w:numPr>
        <w:outlineLvl w:val="0"/>
        <w:rPr>
          <w:caps/>
          <w:sz w:val="24"/>
          <w:u w:val="single"/>
        </w:rPr>
      </w:pPr>
      <w:bookmarkStart w:id="5" w:name="_Toc3878077"/>
      <w:r>
        <w:rPr>
          <w:b/>
          <w:sz w:val="28"/>
          <w:u w:val="single"/>
        </w:rPr>
        <w:t>HEALTH BENEFITS</w:t>
      </w:r>
      <w:bookmarkEnd w:id="5"/>
      <w:r>
        <w:rPr>
          <w:b/>
          <w:sz w:val="28"/>
          <w:u w:val="single"/>
        </w:rPr>
        <w:t xml:space="preserve"> </w:t>
      </w:r>
    </w:p>
    <w:p w14:paraId="2CBBFB67" w14:textId="29A88C9A" w:rsidR="00F06BA1" w:rsidRDefault="00F06BA1" w:rsidP="00F06BA1">
      <w:pPr>
        <w:pStyle w:val="ListParagraph"/>
        <w:ind w:left="0"/>
      </w:pPr>
      <w:bookmarkStart w:id="6" w:name="_Toc509309769"/>
    </w:p>
    <w:p w14:paraId="03AB7219" w14:textId="6B134D06" w:rsidR="00F06BA1" w:rsidRDefault="00F06BA1" w:rsidP="00F06BA1">
      <w:pPr>
        <w:pStyle w:val="ListParagraph"/>
        <w:numPr>
          <w:ilvl w:val="3"/>
          <w:numId w:val="1"/>
        </w:numPr>
        <w:outlineLvl w:val="1"/>
        <w:rPr>
          <w:sz w:val="24"/>
        </w:rPr>
      </w:pPr>
      <w:bookmarkStart w:id="7" w:name="_Toc3878078"/>
      <w:r w:rsidRPr="00F06BA1">
        <w:rPr>
          <w:sz w:val="24"/>
        </w:rPr>
        <w:t>OVERVIEW</w:t>
      </w:r>
      <w:bookmarkEnd w:id="7"/>
    </w:p>
    <w:p w14:paraId="5E7EE11B" w14:textId="77777777" w:rsidR="00032716" w:rsidRPr="00F06BA1" w:rsidRDefault="00032716" w:rsidP="00E15347">
      <w:pPr>
        <w:pStyle w:val="ListParagraph"/>
        <w:rPr>
          <w:sz w:val="24"/>
        </w:rPr>
      </w:pPr>
    </w:p>
    <w:p w14:paraId="6C816D1E" w14:textId="26A7B2EB" w:rsidR="00B022FC" w:rsidRDefault="00B022FC" w:rsidP="00F06BA1">
      <w:pPr>
        <w:pStyle w:val="ListParagraph"/>
        <w:ind w:left="0"/>
      </w:pPr>
      <w:r w:rsidRPr="00B022FC">
        <w:t>The University offers a comprehensive set of benefit options with flexibility for employees to choose plans that are right for them and their famil</w:t>
      </w:r>
      <w:r w:rsidR="0071319A">
        <w:t>ies</w:t>
      </w:r>
      <w:r w:rsidRPr="00B022FC">
        <w:t xml:space="preserve">. </w:t>
      </w:r>
      <w:r w:rsidR="001A7AD7">
        <w:t>Summary of p</w:t>
      </w:r>
      <w:r w:rsidRPr="00B022FC">
        <w:t>lans include:</w:t>
      </w:r>
      <w:bookmarkEnd w:id="6"/>
    </w:p>
    <w:p w14:paraId="409D753E" w14:textId="77777777" w:rsidR="00F06BA1" w:rsidRPr="00B022FC" w:rsidRDefault="00F06BA1" w:rsidP="00F06BA1">
      <w:pPr>
        <w:pStyle w:val="ListParagraph"/>
        <w:ind w:left="0"/>
      </w:pPr>
    </w:p>
    <w:p w14:paraId="3C440FDC" w14:textId="77777777" w:rsidR="00B022FC" w:rsidRPr="00B022FC" w:rsidRDefault="00B022FC" w:rsidP="00F06BA1">
      <w:pPr>
        <w:pStyle w:val="ListParagraph"/>
        <w:numPr>
          <w:ilvl w:val="0"/>
          <w:numId w:val="2"/>
        </w:numPr>
        <w:ind w:left="720"/>
        <w:rPr>
          <w:caps/>
        </w:rPr>
      </w:pPr>
      <w:bookmarkStart w:id="8" w:name="_Toc509309770"/>
      <w:r w:rsidRPr="00B022FC">
        <w:t>The traditional PPO Medical Plan offers a broad network of providers, which may be ideal for those who desire flexibility for medical services at a higher cost.</w:t>
      </w:r>
      <w:bookmarkEnd w:id="8"/>
    </w:p>
    <w:p w14:paraId="1A213D6C" w14:textId="77777777" w:rsidR="00B022FC" w:rsidRPr="00B022FC" w:rsidRDefault="00B022FC" w:rsidP="00F06BA1">
      <w:pPr>
        <w:pStyle w:val="ListParagraph"/>
        <w:numPr>
          <w:ilvl w:val="0"/>
          <w:numId w:val="2"/>
        </w:numPr>
        <w:ind w:left="720"/>
        <w:rPr>
          <w:caps/>
        </w:rPr>
      </w:pPr>
      <w:bookmarkStart w:id="9" w:name="_Toc509309771"/>
      <w:r w:rsidRPr="00B022FC">
        <w:t>The Healthy Savings Plan is coupled with a Health Savings Account (HSA)</w:t>
      </w:r>
      <w:r w:rsidR="00B909A5">
        <w:t>.</w:t>
      </w:r>
      <w:r w:rsidRPr="00B022FC">
        <w:t xml:space="preserve"> </w:t>
      </w:r>
      <w:r w:rsidR="00B909A5">
        <w:t>T</w:t>
      </w:r>
      <w:r w:rsidRPr="00B022FC">
        <w:t>he University makes an annual contribution to help increase employee savings for qualified healthcare expenses.</w:t>
      </w:r>
      <w:bookmarkEnd w:id="9"/>
    </w:p>
    <w:p w14:paraId="083E0B30" w14:textId="77777777" w:rsidR="00B022FC" w:rsidRPr="00B022FC" w:rsidRDefault="00B022FC" w:rsidP="00F06BA1">
      <w:pPr>
        <w:pStyle w:val="ListParagraph"/>
        <w:numPr>
          <w:ilvl w:val="0"/>
          <w:numId w:val="2"/>
        </w:numPr>
        <w:ind w:left="720"/>
        <w:rPr>
          <w:caps/>
        </w:rPr>
      </w:pPr>
      <w:bookmarkStart w:id="10" w:name="_Toc509309772"/>
      <w:r w:rsidRPr="00B022FC">
        <w:t>The Custom Network Plan is available in eligible regions around Columbia and St. Louis</w:t>
      </w:r>
      <w:r w:rsidR="00B909A5">
        <w:t>.</w:t>
      </w:r>
      <w:r w:rsidRPr="00B022FC">
        <w:t xml:space="preserve"> </w:t>
      </w:r>
      <w:r w:rsidR="00B909A5">
        <w:t xml:space="preserve">It </w:t>
      </w:r>
      <w:r w:rsidRPr="00B022FC">
        <w:t>offer</w:t>
      </w:r>
      <w:r w:rsidR="00DF3FC5">
        <w:t>s</w:t>
      </w:r>
      <w:r w:rsidRPr="00B022FC">
        <w:t xml:space="preserve"> a focused network of providers, which improves the quality of services and share</w:t>
      </w:r>
      <w:r w:rsidR="00B909A5">
        <w:t>d</w:t>
      </w:r>
      <w:r w:rsidRPr="00B022FC">
        <w:t xml:space="preserve"> savings for those employees who are willing to limit their provider choices for a lower cost plan.</w:t>
      </w:r>
      <w:bookmarkEnd w:id="10"/>
      <w:r w:rsidRPr="00B022FC">
        <w:t xml:space="preserve"> </w:t>
      </w:r>
    </w:p>
    <w:p w14:paraId="4F3FF7B2" w14:textId="47F9AD31" w:rsidR="00B022FC" w:rsidRPr="00B022FC" w:rsidRDefault="00B022FC" w:rsidP="00F06BA1">
      <w:pPr>
        <w:pStyle w:val="ListParagraph"/>
        <w:numPr>
          <w:ilvl w:val="0"/>
          <w:numId w:val="2"/>
        </w:numPr>
        <w:ind w:left="720"/>
        <w:rPr>
          <w:caps/>
        </w:rPr>
      </w:pPr>
      <w:bookmarkStart w:id="11" w:name="_Toc509309773"/>
      <w:r w:rsidRPr="00B022FC">
        <w:t>The Tiered PP</w:t>
      </w:r>
      <w:r w:rsidR="00E13C82">
        <w:t>O</w:t>
      </w:r>
      <w:r w:rsidRPr="00B022FC">
        <w:t xml:space="preserve"> Plan for Kansas City was featured in January 2018. This plan utilizes the same broad network as the traditional PPO Plan</w:t>
      </w:r>
      <w:r w:rsidR="0071319A">
        <w:t>. H</w:t>
      </w:r>
      <w:r w:rsidRPr="00B022FC">
        <w:t>owever</w:t>
      </w:r>
      <w:r w:rsidR="0071319A">
        <w:t>, it</w:t>
      </w:r>
      <w:r w:rsidRPr="00B022FC">
        <w:t xml:space="preserve"> is designed to provide additional cost savings to employees who use providers recognized as offering high-quality and cost-effective care.</w:t>
      </w:r>
      <w:bookmarkEnd w:id="11"/>
      <w:r w:rsidRPr="00B022FC">
        <w:t xml:space="preserve"> </w:t>
      </w:r>
    </w:p>
    <w:p w14:paraId="640E3789" w14:textId="77CB64FC" w:rsidR="00B022FC" w:rsidRPr="00B022FC" w:rsidRDefault="00B022FC" w:rsidP="00F06BA1">
      <w:pPr>
        <w:pStyle w:val="ListParagraph"/>
        <w:numPr>
          <w:ilvl w:val="0"/>
          <w:numId w:val="2"/>
        </w:numPr>
        <w:ind w:left="720"/>
        <w:rPr>
          <w:caps/>
        </w:rPr>
      </w:pPr>
      <w:bookmarkStart w:id="12" w:name="_Toc509309774"/>
      <w:r w:rsidRPr="00B022FC">
        <w:t xml:space="preserve">Ancillary benefits </w:t>
      </w:r>
      <w:r w:rsidR="00FB5179" w:rsidRPr="00B022FC">
        <w:t>such as dental, vision, life insurance, accidental death &amp; dismemberment and long</w:t>
      </w:r>
      <w:r w:rsidR="00FB5179">
        <w:t>-</w:t>
      </w:r>
      <w:r w:rsidR="00FB5179" w:rsidRPr="00B022FC">
        <w:t xml:space="preserve">term disability </w:t>
      </w:r>
      <w:r w:rsidRPr="00B022FC">
        <w:t>are available to employees.</w:t>
      </w:r>
      <w:bookmarkEnd w:id="12"/>
      <w:r w:rsidRPr="00B022FC">
        <w:t xml:space="preserve"> </w:t>
      </w:r>
    </w:p>
    <w:p w14:paraId="73F3A0B2" w14:textId="33EC14A8" w:rsidR="00CB6142" w:rsidRPr="000D6E78" w:rsidRDefault="00B022FC" w:rsidP="003C27B5">
      <w:pPr>
        <w:pStyle w:val="ListParagraph"/>
        <w:numPr>
          <w:ilvl w:val="0"/>
          <w:numId w:val="2"/>
        </w:numPr>
        <w:ind w:left="720"/>
      </w:pPr>
      <w:bookmarkStart w:id="13" w:name="_Toc509309775"/>
      <w:r w:rsidRPr="00B022FC">
        <w:t>Employees may also participate in the Wellness Program, which focuses on promoting healthy workplace practices that encourage habits of wellbeing, inspire and empower individuals to take responsibility for the</w:t>
      </w:r>
      <w:r w:rsidR="007D1E63">
        <w:t>ir</w:t>
      </w:r>
      <w:r w:rsidRPr="00B022FC">
        <w:t xml:space="preserve"> health and support a sense of community.</w:t>
      </w:r>
      <w:bookmarkEnd w:id="13"/>
      <w:r w:rsidRPr="00B022FC">
        <w:t xml:space="preserve"> </w:t>
      </w:r>
    </w:p>
    <w:p w14:paraId="404EA027" w14:textId="1786843F" w:rsidR="00B022FC" w:rsidRPr="0075616B" w:rsidRDefault="00B022FC" w:rsidP="004020BC">
      <w:pPr>
        <w:pStyle w:val="Heading2"/>
        <w:numPr>
          <w:ilvl w:val="3"/>
          <w:numId w:val="1"/>
        </w:numPr>
        <w:spacing w:after="240"/>
        <w:rPr>
          <w:rFonts w:asciiTheme="minorHAnsi" w:hAnsiTheme="minorHAnsi" w:cstheme="minorHAnsi"/>
          <w:color w:val="auto"/>
          <w:sz w:val="24"/>
          <w:szCs w:val="24"/>
        </w:rPr>
      </w:pPr>
      <w:bookmarkStart w:id="14" w:name="_Toc3878079"/>
      <w:r w:rsidRPr="0075616B">
        <w:rPr>
          <w:rFonts w:asciiTheme="minorHAnsi" w:hAnsiTheme="minorHAnsi" w:cstheme="minorHAnsi"/>
          <w:color w:val="auto"/>
          <w:sz w:val="24"/>
          <w:szCs w:val="24"/>
        </w:rPr>
        <w:t>CLA</w:t>
      </w:r>
      <w:r w:rsidR="00B909A5" w:rsidRPr="0075616B">
        <w:rPr>
          <w:rFonts w:asciiTheme="minorHAnsi" w:hAnsiTheme="minorHAnsi" w:cstheme="minorHAnsi"/>
          <w:color w:val="auto"/>
          <w:sz w:val="24"/>
          <w:szCs w:val="24"/>
        </w:rPr>
        <w:t xml:space="preserve">IMS AND </w:t>
      </w:r>
      <w:r w:rsidR="00943A30">
        <w:rPr>
          <w:rFonts w:asciiTheme="minorHAnsi" w:hAnsiTheme="minorHAnsi" w:cstheme="minorHAnsi"/>
          <w:color w:val="auto"/>
          <w:sz w:val="24"/>
          <w:szCs w:val="24"/>
        </w:rPr>
        <w:t>PHARMACEUTICAL</w:t>
      </w:r>
      <w:r w:rsidRPr="0075616B">
        <w:rPr>
          <w:rFonts w:asciiTheme="minorHAnsi" w:hAnsiTheme="minorHAnsi" w:cstheme="minorHAnsi"/>
          <w:color w:val="auto"/>
          <w:sz w:val="24"/>
          <w:szCs w:val="24"/>
        </w:rPr>
        <w:t xml:space="preserve"> TREND</w:t>
      </w:r>
      <w:r w:rsidR="00B909A5" w:rsidRPr="0075616B">
        <w:rPr>
          <w:rFonts w:asciiTheme="minorHAnsi" w:hAnsiTheme="minorHAnsi" w:cstheme="minorHAnsi"/>
          <w:color w:val="auto"/>
          <w:sz w:val="24"/>
          <w:szCs w:val="24"/>
        </w:rPr>
        <w:t>S</w:t>
      </w:r>
      <w:bookmarkEnd w:id="14"/>
    </w:p>
    <w:p w14:paraId="787A6A3D" w14:textId="23935FB7" w:rsidR="00CB6142" w:rsidRDefault="00032716" w:rsidP="00B022FC">
      <w:r>
        <w:t xml:space="preserve">The cost of medical claims have remained flat between plan years 2017 and 2018 per covered member.  While this number can be variable over time, holding the trend flat per member helps the University keep premiums affordable.  Generally, plan design has encouraged the University’s employee population to migrate into either a higher cost share plan (Healthy Savings Plan) or a plan with quality service and shared savings through a narrower network of providers (Custom Network Plan).   </w:t>
      </w:r>
    </w:p>
    <w:p w14:paraId="24BD8BD8" w14:textId="03A2E351" w:rsidR="00A8253D" w:rsidRDefault="00A8253D" w:rsidP="000D6E78">
      <w:r>
        <w:rPr>
          <w:noProof/>
        </w:rPr>
        <w:lastRenderedPageBreak/>
        <w:drawing>
          <wp:anchor distT="0" distB="0" distL="114300" distR="114300" simplePos="0" relativeHeight="251669504" behindDoc="1" locked="0" layoutInCell="1" allowOverlap="1" wp14:anchorId="3612B06F" wp14:editId="1A22EF2A">
            <wp:simplePos x="0" y="0"/>
            <wp:positionH relativeFrom="margin">
              <wp:align>right</wp:align>
            </wp:positionH>
            <wp:positionV relativeFrom="paragraph">
              <wp:posOffset>1076325</wp:posOffset>
            </wp:positionV>
            <wp:extent cx="2762250" cy="2524125"/>
            <wp:effectExtent l="0" t="0" r="0" b="9525"/>
            <wp:wrapTight wrapText="bothSides">
              <wp:wrapPolygon edited="0">
                <wp:start x="0" y="0"/>
                <wp:lineTo x="0" y="21518"/>
                <wp:lineTo x="21451" y="21518"/>
                <wp:lineTo x="21451"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20A5ADE5" wp14:editId="2F2DF164">
            <wp:simplePos x="0" y="0"/>
            <wp:positionH relativeFrom="margin">
              <wp:posOffset>-161925</wp:posOffset>
            </wp:positionH>
            <wp:positionV relativeFrom="paragraph">
              <wp:posOffset>1047750</wp:posOffset>
            </wp:positionV>
            <wp:extent cx="2790825" cy="2552700"/>
            <wp:effectExtent l="0" t="0" r="9525" b="0"/>
            <wp:wrapTight wrapText="bothSides">
              <wp:wrapPolygon edited="0">
                <wp:start x="0" y="0"/>
                <wp:lineTo x="0" y="21439"/>
                <wp:lineTo x="21526" y="21439"/>
                <wp:lineTo x="21526"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32716">
        <w:t xml:space="preserve">The cost of pharmaceuticals has increased </w:t>
      </w:r>
      <w:r w:rsidR="00E3319E">
        <w:t>7</w:t>
      </w:r>
      <w:r w:rsidR="00032716">
        <w:t xml:space="preserve">% </w:t>
      </w:r>
      <w:r w:rsidR="00E3319E">
        <w:t xml:space="preserve">per member per month </w:t>
      </w:r>
      <w:r w:rsidR="009847E5">
        <w:t xml:space="preserve">(PMPM) </w:t>
      </w:r>
      <w:r w:rsidR="00032716">
        <w:t>between plan years 2017 to 2018</w:t>
      </w:r>
      <w:r w:rsidR="00F96C3A">
        <w:t>.</w:t>
      </w:r>
      <w:r w:rsidR="00535936">
        <w:t xml:space="preserve"> </w:t>
      </w:r>
      <w:r w:rsidR="00032716">
        <w:t>The increase in claim cost trend continues to be due to specialty prescriptions and biologics</w:t>
      </w:r>
      <w:r w:rsidR="00E15347">
        <w:t>.</w:t>
      </w:r>
      <w:r w:rsidR="00AC65A6">
        <w:t xml:space="preserve"> </w:t>
      </w:r>
      <w:r w:rsidR="00512F00">
        <w:t xml:space="preserve">Rebates received have offset the increase in pharmacy expenses incurred. </w:t>
      </w:r>
      <w:r w:rsidR="00AC65A6">
        <w:t xml:space="preserve">Although there has been </w:t>
      </w:r>
      <w:r w:rsidR="00512F00">
        <w:t xml:space="preserve">a </w:t>
      </w:r>
      <w:r w:rsidR="00AC65A6">
        <w:t xml:space="preserve">steady increase in pharmacy cost, the University’s pharmacy cost </w:t>
      </w:r>
      <w:r w:rsidR="009847E5">
        <w:t xml:space="preserve">in </w:t>
      </w:r>
      <w:r w:rsidR="00AC65A6">
        <w:t xml:space="preserve">2018 </w:t>
      </w:r>
      <w:r w:rsidR="009847E5">
        <w:t>was</w:t>
      </w:r>
      <w:r w:rsidR="00512F00">
        <w:t xml:space="preserve"> 35</w:t>
      </w:r>
      <w:r w:rsidR="00AC65A6">
        <w:t>% lower than</w:t>
      </w:r>
      <w:r>
        <w:t xml:space="preserve"> peer</w:t>
      </w:r>
      <w:r w:rsidR="00AC65A6">
        <w:t xml:space="preserve"> benchmark</w:t>
      </w:r>
      <w:r w:rsidR="009847E5">
        <w:t xml:space="preserve"> PMPM cost.</w:t>
      </w:r>
    </w:p>
    <w:p w14:paraId="0181B222" w14:textId="1F150A54" w:rsidR="0021503B" w:rsidRDefault="0021503B" w:rsidP="003C27B5">
      <w:pPr>
        <w:spacing w:after="0"/>
      </w:pPr>
    </w:p>
    <w:p w14:paraId="448673CC" w14:textId="6AABF748" w:rsidR="0075616B" w:rsidRDefault="005B25F6" w:rsidP="003C27B5">
      <w:pPr>
        <w:pStyle w:val="ListParagraph"/>
        <w:numPr>
          <w:ilvl w:val="3"/>
          <w:numId w:val="1"/>
        </w:numPr>
        <w:spacing w:after="0"/>
        <w:outlineLvl w:val="1"/>
        <w:rPr>
          <w:sz w:val="24"/>
          <w:szCs w:val="24"/>
        </w:rPr>
      </w:pPr>
      <w:bookmarkStart w:id="15" w:name="_Toc3878080"/>
      <w:r w:rsidRPr="0075616B">
        <w:rPr>
          <w:sz w:val="24"/>
          <w:szCs w:val="24"/>
        </w:rPr>
        <w:t xml:space="preserve">TOP FIVE </w:t>
      </w:r>
      <w:r w:rsidR="00B022FC" w:rsidRPr="0075616B">
        <w:rPr>
          <w:sz w:val="24"/>
          <w:szCs w:val="24"/>
        </w:rPr>
        <w:t>COST</w:t>
      </w:r>
      <w:r w:rsidRPr="0075616B">
        <w:rPr>
          <w:sz w:val="24"/>
          <w:szCs w:val="24"/>
        </w:rPr>
        <w:t xml:space="preserve"> DRIVERS IN 201</w:t>
      </w:r>
      <w:r w:rsidR="0021503B">
        <w:rPr>
          <w:sz w:val="24"/>
          <w:szCs w:val="24"/>
        </w:rPr>
        <w:t>8</w:t>
      </w:r>
      <w:bookmarkEnd w:id="15"/>
      <w:r w:rsidR="0071319A">
        <w:rPr>
          <w:sz w:val="24"/>
          <w:szCs w:val="24"/>
        </w:rPr>
        <w:t xml:space="preserve"> </w:t>
      </w:r>
    </w:p>
    <w:p w14:paraId="008C512F" w14:textId="6ED025E3" w:rsidR="00D10F9C" w:rsidRDefault="0021503B" w:rsidP="00B022FC">
      <w:r>
        <w:t>The high-cost drivers i</w:t>
      </w:r>
      <w:r w:rsidR="00D10F9C">
        <w:t>n 2018 primarily rested in the following</w:t>
      </w:r>
      <w:r>
        <w:t xml:space="preserve"> top five categories for bot</w:t>
      </w:r>
      <w:r w:rsidR="00441901">
        <w:t xml:space="preserve">h medical and pharmaceuticals. Top five high cost drives in 2018 compared to 2017 resulted in the same top 4 categories with the exception of maternity rising to the top five in 2018, replacing injuries &amp; poisoning. </w:t>
      </w:r>
    </w:p>
    <w:p w14:paraId="56AB18AD" w14:textId="0CF66B39" w:rsidR="00D10F9C" w:rsidRDefault="00D10F9C" w:rsidP="00B022FC">
      <w:r>
        <w:rPr>
          <w:noProof/>
        </w:rPr>
        <w:drawing>
          <wp:inline distT="0" distB="0" distL="0" distR="0" wp14:anchorId="647C116B" wp14:editId="65EE3E4A">
            <wp:extent cx="5247861" cy="2910177"/>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2C56FC8" w14:textId="71A5EF00" w:rsidR="00441901" w:rsidRDefault="00441901" w:rsidP="00441901">
      <w:r>
        <w:lastRenderedPageBreak/>
        <w:t xml:space="preserve">The cost associated with “other conditions/preventative screenings” is one area that will continue to be a primary focus.  Proactive prevention minimizes other high-cost drivers. </w:t>
      </w:r>
    </w:p>
    <w:p w14:paraId="53D76192" w14:textId="251D8BDD" w:rsidR="00441901" w:rsidRDefault="00441901" w:rsidP="00441901">
      <w:r>
        <w:t>Additional details of each high cost drivers are highlighted in the graphic below.</w:t>
      </w:r>
    </w:p>
    <w:p w14:paraId="31132833" w14:textId="77777777" w:rsidR="00D10F9C" w:rsidRDefault="00D10F9C" w:rsidP="00B022FC"/>
    <w:p w14:paraId="299BD2F2" w14:textId="03DB1886" w:rsidR="00D10F9C" w:rsidRDefault="00D10F9C" w:rsidP="00B022FC">
      <w:r>
        <w:rPr>
          <w:noProof/>
        </w:rPr>
        <w:drawing>
          <wp:anchor distT="0" distB="0" distL="114300" distR="114300" simplePos="0" relativeHeight="251671552" behindDoc="1" locked="0" layoutInCell="1" allowOverlap="1" wp14:anchorId="1E4BA65A" wp14:editId="4BA970F7">
            <wp:simplePos x="0" y="0"/>
            <wp:positionH relativeFrom="margin">
              <wp:posOffset>-55880</wp:posOffset>
            </wp:positionH>
            <wp:positionV relativeFrom="paragraph">
              <wp:posOffset>199390</wp:posOffset>
            </wp:positionV>
            <wp:extent cx="5707380" cy="2997200"/>
            <wp:effectExtent l="19050" t="19050" r="26670" b="12700"/>
            <wp:wrapTight wrapText="bothSides">
              <wp:wrapPolygon edited="0">
                <wp:start x="-72" y="-137"/>
                <wp:lineTo x="-72" y="21554"/>
                <wp:lineTo x="21629" y="21554"/>
                <wp:lineTo x="21629" y="-137"/>
                <wp:lineTo x="-72" y="-13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07380" cy="29972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28F93110" w14:textId="77777777" w:rsidR="00D10F9C" w:rsidRDefault="00D10F9C" w:rsidP="00B022FC"/>
    <w:p w14:paraId="4ADF64CF" w14:textId="00B61503" w:rsidR="00B022FC" w:rsidRPr="00CB6142" w:rsidRDefault="00B022FC" w:rsidP="0075616B">
      <w:pPr>
        <w:pStyle w:val="Heading2"/>
        <w:numPr>
          <w:ilvl w:val="3"/>
          <w:numId w:val="1"/>
        </w:numPr>
        <w:rPr>
          <w:rFonts w:asciiTheme="minorHAnsi" w:hAnsiTheme="minorHAnsi" w:cstheme="minorHAnsi"/>
          <w:color w:val="auto"/>
          <w:sz w:val="24"/>
          <w:szCs w:val="24"/>
        </w:rPr>
      </w:pPr>
      <w:bookmarkStart w:id="16" w:name="_Toc3878081"/>
      <w:r w:rsidRPr="00CB6142">
        <w:rPr>
          <w:rFonts w:asciiTheme="minorHAnsi" w:hAnsiTheme="minorHAnsi" w:cstheme="minorHAnsi"/>
          <w:color w:val="auto"/>
          <w:sz w:val="24"/>
          <w:szCs w:val="24"/>
        </w:rPr>
        <w:t>KEY STEPS TO MANAGE PLAN COST</w:t>
      </w:r>
      <w:bookmarkEnd w:id="16"/>
    </w:p>
    <w:p w14:paraId="2BBB0420" w14:textId="35D59D48" w:rsidR="00201ECD" w:rsidRDefault="00201ECD" w:rsidP="005B25F6"/>
    <w:p w14:paraId="772B3D3A" w14:textId="5DBBF730" w:rsidR="005B25F6" w:rsidRPr="005B25F6" w:rsidRDefault="005B25F6" w:rsidP="005B25F6">
      <w:r w:rsidRPr="00756771">
        <w:t>Steps taken in 201</w:t>
      </w:r>
      <w:r w:rsidR="0021503B">
        <w:t>8</w:t>
      </w:r>
      <w:r w:rsidRPr="00756771">
        <w:t xml:space="preserve"> to manage plan costs </w:t>
      </w:r>
      <w:r w:rsidR="00D65E68">
        <w:t xml:space="preserve">for 2019 and succeeding years </w:t>
      </w:r>
      <w:r w:rsidRPr="00756771">
        <w:t>include the following:</w:t>
      </w:r>
    </w:p>
    <w:p w14:paraId="1C287467" w14:textId="37F20310" w:rsidR="0036168F" w:rsidRPr="0036168F" w:rsidRDefault="0036168F" w:rsidP="0036168F">
      <w:pPr>
        <w:pStyle w:val="ListParagraph"/>
        <w:numPr>
          <w:ilvl w:val="0"/>
          <w:numId w:val="14"/>
        </w:numPr>
      </w:pPr>
      <w:r w:rsidRPr="0036168F">
        <w:rPr>
          <w:b/>
          <w:bCs/>
        </w:rPr>
        <w:t>Mizzou Specialty Pharmacy added to the network for the Columbia Custom Network Plan</w:t>
      </w:r>
      <w:r w:rsidRPr="0036168F">
        <w:t xml:space="preserve"> - Specialty drugs are exclusively filled through Express Scripts Accredo Specialty Pharmacy for the</w:t>
      </w:r>
      <w:r w:rsidR="00CD1418">
        <w:t xml:space="preserve"> PPO and Healthy Savings Plan. I</w:t>
      </w:r>
      <w:r w:rsidRPr="0036168F">
        <w:t>n 2018, we were able to expand the specialty drug network to include Mizzou Specialty Pharmacy for the Columbia Custom Network Plan members.   The estimated savings to the University is $600,000.</w:t>
      </w:r>
    </w:p>
    <w:p w14:paraId="081D6547" w14:textId="77777777" w:rsidR="0036168F" w:rsidRPr="0036168F" w:rsidRDefault="0036168F" w:rsidP="0036168F">
      <w:pPr>
        <w:pStyle w:val="ListParagraph"/>
      </w:pPr>
    </w:p>
    <w:p w14:paraId="4C3B3D95" w14:textId="097671D7" w:rsidR="0021503B" w:rsidRDefault="0021503B" w:rsidP="0021503B">
      <w:pPr>
        <w:pStyle w:val="ListParagraph"/>
        <w:numPr>
          <w:ilvl w:val="0"/>
          <w:numId w:val="14"/>
        </w:numPr>
      </w:pPr>
      <w:r w:rsidRPr="0036168F">
        <w:rPr>
          <w:b/>
        </w:rPr>
        <w:t>Real Appeal</w:t>
      </w:r>
      <w:r w:rsidRPr="0036168F">
        <w:t xml:space="preserve"> a virtual and on-line weight </w:t>
      </w:r>
      <w:r>
        <w:t xml:space="preserve">loss program focused on diet, exercise, </w:t>
      </w:r>
      <w:r w:rsidR="00201ECD">
        <w:t>and peer</w:t>
      </w:r>
      <w:r>
        <w:t xml:space="preserve"> support and coaching.  The positive impact this program will have on members with circulatory concerns, diabetes, pre-diabetes and weight management is estimated to reduce cost drivers by $966,000.</w:t>
      </w:r>
    </w:p>
    <w:p w14:paraId="17B6571F" w14:textId="04B96695" w:rsidR="0021503B" w:rsidRDefault="0021503B" w:rsidP="0021503B">
      <w:pPr>
        <w:pStyle w:val="ListParagraph"/>
      </w:pPr>
    </w:p>
    <w:p w14:paraId="4938F982" w14:textId="77777777" w:rsidR="0021503B" w:rsidRDefault="0021503B" w:rsidP="0021503B">
      <w:pPr>
        <w:pStyle w:val="ListParagraph"/>
        <w:numPr>
          <w:ilvl w:val="0"/>
          <w:numId w:val="14"/>
        </w:numPr>
      </w:pPr>
      <w:r w:rsidRPr="0021503B">
        <w:rPr>
          <w:b/>
        </w:rPr>
        <w:t xml:space="preserve">Ortho Net Focused Claim Review </w:t>
      </w:r>
      <w:r>
        <w:t>identifies coding errors not identified through automatic claims processing prior to payment.  This service is estimated to save the University $48,000.</w:t>
      </w:r>
    </w:p>
    <w:p w14:paraId="29C8C160" w14:textId="1AF87469" w:rsidR="0021503B" w:rsidRDefault="0021503B" w:rsidP="0021503B">
      <w:pPr>
        <w:pStyle w:val="ListParagraph"/>
      </w:pPr>
    </w:p>
    <w:p w14:paraId="15AF4EDA" w14:textId="31628841" w:rsidR="0021503B" w:rsidRDefault="0021503B" w:rsidP="0021503B">
      <w:pPr>
        <w:pStyle w:val="ListParagraph"/>
        <w:numPr>
          <w:ilvl w:val="0"/>
          <w:numId w:val="14"/>
        </w:numPr>
      </w:pPr>
      <w:r w:rsidRPr="0021503B">
        <w:rPr>
          <w:b/>
        </w:rPr>
        <w:lastRenderedPageBreak/>
        <w:t>Arthroscopy Medical Necessity Bundle</w:t>
      </w:r>
      <w:r>
        <w:t xml:space="preserve"> for all medical plans.  This is a process for determining if services, tests and procedures are clinically and cost effective.  The estimated net savings after the cost of this service is $49,000.</w:t>
      </w:r>
    </w:p>
    <w:p w14:paraId="50CA4B05" w14:textId="77777777" w:rsidR="005D149E" w:rsidRDefault="005D149E" w:rsidP="005D149E">
      <w:pPr>
        <w:pStyle w:val="ListParagraph"/>
      </w:pPr>
    </w:p>
    <w:p w14:paraId="2C11E89A" w14:textId="780F3814" w:rsidR="005D149E" w:rsidRDefault="005D149E" w:rsidP="0021503B">
      <w:pPr>
        <w:pStyle w:val="ListParagraph"/>
        <w:numPr>
          <w:ilvl w:val="0"/>
          <w:numId w:val="14"/>
        </w:numPr>
      </w:pPr>
      <w:r w:rsidRPr="00C6159D">
        <w:rPr>
          <w:b/>
        </w:rPr>
        <w:t>Treat pregnancy and delivery as inpatient</w:t>
      </w:r>
      <w:r w:rsidRPr="00C6159D">
        <w:t xml:space="preserve"> to be consistent with other inpatient care copay. The estimated savings to the University is </w:t>
      </w:r>
      <w:r w:rsidR="0050553D" w:rsidRPr="00C6159D">
        <w:t>$</w:t>
      </w:r>
      <w:r w:rsidR="00C6159D">
        <w:t>600,000.</w:t>
      </w:r>
    </w:p>
    <w:p w14:paraId="682C5578" w14:textId="22B37DBB" w:rsidR="00C6159D" w:rsidRDefault="00C6159D" w:rsidP="00C6159D">
      <w:pPr>
        <w:pStyle w:val="ListParagraph"/>
      </w:pPr>
    </w:p>
    <w:p w14:paraId="3C10B63F" w14:textId="6107ACF9" w:rsidR="00C6159D" w:rsidRDefault="00C6159D" w:rsidP="0021503B">
      <w:pPr>
        <w:pStyle w:val="ListParagraph"/>
        <w:numPr>
          <w:ilvl w:val="0"/>
          <w:numId w:val="14"/>
        </w:numPr>
      </w:pPr>
      <w:r w:rsidRPr="00C6159D">
        <w:rPr>
          <w:b/>
        </w:rPr>
        <w:t>Increase</w:t>
      </w:r>
      <w:r w:rsidR="001E5309">
        <w:rPr>
          <w:b/>
        </w:rPr>
        <w:t>d</w:t>
      </w:r>
      <w:r w:rsidRPr="00C6159D">
        <w:rPr>
          <w:b/>
        </w:rPr>
        <w:t xml:space="preserve"> copays by $5 for primary and specialist visits</w:t>
      </w:r>
      <w:r>
        <w:rPr>
          <w:b/>
        </w:rPr>
        <w:t xml:space="preserve"> </w:t>
      </w:r>
      <w:r w:rsidRPr="00C6159D">
        <w:t>for all medical plans</w:t>
      </w:r>
      <w:r>
        <w:rPr>
          <w:b/>
        </w:rPr>
        <w:t xml:space="preserve"> </w:t>
      </w:r>
      <w:r w:rsidRPr="00C6159D">
        <w:t>as a cost shift from employer to employee</w:t>
      </w:r>
      <w:r>
        <w:t>.  The estimated savings to the University is $1,600,000.</w:t>
      </w:r>
      <w:r w:rsidRPr="00C6159D">
        <w:t xml:space="preserve"> </w:t>
      </w:r>
    </w:p>
    <w:p w14:paraId="129A201F" w14:textId="77777777" w:rsidR="00C6159D" w:rsidRDefault="00C6159D" w:rsidP="00C6159D">
      <w:pPr>
        <w:pStyle w:val="ListParagraph"/>
      </w:pPr>
    </w:p>
    <w:p w14:paraId="530FA964" w14:textId="124F7FC3" w:rsidR="00C6159D" w:rsidRDefault="00C6159D" w:rsidP="00C6159D">
      <w:pPr>
        <w:pStyle w:val="ListParagraph"/>
        <w:numPr>
          <w:ilvl w:val="0"/>
          <w:numId w:val="14"/>
        </w:numPr>
      </w:pPr>
      <w:r w:rsidRPr="00C6159D">
        <w:rPr>
          <w:b/>
        </w:rPr>
        <w:t>Increase</w:t>
      </w:r>
      <w:r w:rsidR="001E5309">
        <w:rPr>
          <w:b/>
        </w:rPr>
        <w:t>d</w:t>
      </w:r>
      <w:r w:rsidRPr="00C6159D">
        <w:rPr>
          <w:b/>
        </w:rPr>
        <w:t xml:space="preserve"> out-of-pocket maximum</w:t>
      </w:r>
      <w:r w:rsidRPr="00C6159D">
        <w:t xml:space="preserve"> </w:t>
      </w:r>
      <w:r>
        <w:t>to meet 2019 IRS limits.  The increased limits were applied to</w:t>
      </w:r>
      <w:r w:rsidR="00E974DE">
        <w:t xml:space="preserve"> the</w:t>
      </w:r>
      <w:r>
        <w:t xml:space="preserve"> pharmacy</w:t>
      </w:r>
      <w:r w:rsidR="00E974DE">
        <w:t xml:space="preserve"> out-of-pocket maximum</w:t>
      </w:r>
      <w:r>
        <w:t xml:space="preserve"> due to higher pharmacy cost trends.  The estimated savings to the University is $1,500,000.</w:t>
      </w:r>
    </w:p>
    <w:p w14:paraId="36C161E5" w14:textId="4E957C60" w:rsidR="0017087B" w:rsidRDefault="00B022FC" w:rsidP="00373A80">
      <w:pPr>
        <w:tabs>
          <w:tab w:val="left" w:pos="8520"/>
        </w:tabs>
        <w:rPr>
          <w:szCs w:val="24"/>
        </w:rPr>
      </w:pPr>
      <w:r>
        <w:rPr>
          <w:szCs w:val="24"/>
        </w:rPr>
        <w:t>See attachment A for a side-by-side comparison of Summary Plan Document changes from 201</w:t>
      </w:r>
      <w:r w:rsidR="0021503B">
        <w:rPr>
          <w:szCs w:val="24"/>
        </w:rPr>
        <w:t>8</w:t>
      </w:r>
      <w:r>
        <w:rPr>
          <w:szCs w:val="24"/>
        </w:rPr>
        <w:t xml:space="preserve"> to 201</w:t>
      </w:r>
      <w:r w:rsidR="0021503B">
        <w:rPr>
          <w:szCs w:val="24"/>
        </w:rPr>
        <w:t>9</w:t>
      </w:r>
      <w:r>
        <w:rPr>
          <w:szCs w:val="24"/>
        </w:rPr>
        <w:t xml:space="preserve">. </w:t>
      </w:r>
      <w:r w:rsidR="0050553D">
        <w:rPr>
          <w:szCs w:val="24"/>
        </w:rPr>
        <w:t xml:space="preserve"> </w:t>
      </w:r>
    </w:p>
    <w:p w14:paraId="57D1572D" w14:textId="150A2D32" w:rsidR="0012095F" w:rsidRDefault="0012095F" w:rsidP="00373A80">
      <w:pPr>
        <w:tabs>
          <w:tab w:val="left" w:pos="8520"/>
        </w:tabs>
        <w:rPr>
          <w:szCs w:val="24"/>
        </w:rPr>
      </w:pPr>
    </w:p>
    <w:p w14:paraId="50B31DE5" w14:textId="5E995941" w:rsidR="0090384F" w:rsidRPr="00515957" w:rsidRDefault="0005053C" w:rsidP="00515957">
      <w:pPr>
        <w:pStyle w:val="Heading1"/>
        <w:numPr>
          <w:ilvl w:val="0"/>
          <w:numId w:val="1"/>
        </w:numPr>
        <w:rPr>
          <w:rFonts w:asciiTheme="minorHAnsi" w:hAnsiTheme="minorHAnsi" w:cstheme="minorHAnsi"/>
          <w:b/>
          <w:color w:val="auto"/>
          <w:sz w:val="28"/>
          <w:szCs w:val="28"/>
          <w:u w:val="single"/>
        </w:rPr>
      </w:pPr>
      <w:bookmarkStart w:id="17" w:name="_Toc3878082"/>
      <w:r>
        <w:rPr>
          <w:rFonts w:asciiTheme="minorHAnsi" w:hAnsiTheme="minorHAnsi" w:cstheme="minorHAnsi"/>
          <w:b/>
          <w:color w:val="auto"/>
          <w:sz w:val="28"/>
          <w:szCs w:val="28"/>
          <w:u w:val="single"/>
        </w:rPr>
        <w:t>PREMIUMS IMPLEMENTED IN 2019</w:t>
      </w:r>
      <w:bookmarkEnd w:id="17"/>
    </w:p>
    <w:p w14:paraId="4B51BC48" w14:textId="77777777" w:rsidR="00515957" w:rsidRDefault="00515957" w:rsidP="0090384F">
      <w:pPr>
        <w:tabs>
          <w:tab w:val="left" w:pos="8520"/>
        </w:tabs>
      </w:pPr>
    </w:p>
    <w:p w14:paraId="54A7ADD2" w14:textId="14CE7721" w:rsidR="00201ECD" w:rsidRDefault="00201ECD" w:rsidP="00201ECD">
      <w:r>
        <w:t xml:space="preserve">The University Of Missouri System Office Of Human Resources, in collaboration with </w:t>
      </w:r>
      <w:r w:rsidR="00CD1418">
        <w:t>TRAC</w:t>
      </w:r>
      <w:r>
        <w:t>, is continually identifying strategies to reduce costs and increase value in the benefit plans.  Premiums continue to increase as medical cost trends continue to escalate, similar to trends across the industry.</w:t>
      </w:r>
    </w:p>
    <w:p w14:paraId="6AE0015A" w14:textId="77777777" w:rsidR="00CB6142" w:rsidRDefault="00CB6142" w:rsidP="00201ECD"/>
    <w:p w14:paraId="1980D97E" w14:textId="6C0F8A49" w:rsidR="00515957" w:rsidRDefault="00201ECD" w:rsidP="0090384F">
      <w:pPr>
        <w:tabs>
          <w:tab w:val="left" w:pos="8520"/>
        </w:tabs>
      </w:pPr>
      <w:r w:rsidRPr="00135B37">
        <w:rPr>
          <w:noProof/>
        </w:rPr>
        <w:lastRenderedPageBreak/>
        <w:drawing>
          <wp:inline distT="0" distB="0" distL="0" distR="0" wp14:anchorId="2B38F93F" wp14:editId="426EAEE1">
            <wp:extent cx="5816600" cy="476025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6309" cy="4776389"/>
                    </a:xfrm>
                    <a:prstGeom prst="rect">
                      <a:avLst/>
                    </a:prstGeom>
                    <a:noFill/>
                    <a:ln>
                      <a:noFill/>
                    </a:ln>
                  </pic:spPr>
                </pic:pic>
              </a:graphicData>
            </a:graphic>
          </wp:inline>
        </w:drawing>
      </w:r>
    </w:p>
    <w:p w14:paraId="69292436" w14:textId="279481E8" w:rsidR="00CB6142" w:rsidRDefault="00CB6142" w:rsidP="00CB6142">
      <w:pPr>
        <w:tabs>
          <w:tab w:val="left" w:pos="8520"/>
        </w:tabs>
      </w:pPr>
      <w:r>
        <w:t xml:space="preserve">Premiums listed are per month payments. </w:t>
      </w:r>
    </w:p>
    <w:p w14:paraId="00946433" w14:textId="137FA861" w:rsidR="00CB6142" w:rsidRDefault="00CB6142" w:rsidP="00CB6142">
      <w:pPr>
        <w:tabs>
          <w:tab w:val="left" w:pos="8520"/>
        </w:tabs>
      </w:pPr>
    </w:p>
    <w:p w14:paraId="167EE47F" w14:textId="41D98101" w:rsidR="00EF5C78" w:rsidRDefault="00EF5C78" w:rsidP="006D6E79">
      <w:pPr>
        <w:pStyle w:val="ListParagraph"/>
        <w:numPr>
          <w:ilvl w:val="0"/>
          <w:numId w:val="1"/>
        </w:numPr>
        <w:tabs>
          <w:tab w:val="left" w:pos="8520"/>
        </w:tabs>
        <w:outlineLvl w:val="0"/>
        <w:rPr>
          <w:b/>
          <w:sz w:val="28"/>
          <w:szCs w:val="24"/>
          <w:u w:val="single"/>
        </w:rPr>
      </w:pPr>
      <w:bookmarkStart w:id="18" w:name="_Toc3878083"/>
      <w:r>
        <w:rPr>
          <w:b/>
          <w:sz w:val="28"/>
          <w:szCs w:val="24"/>
          <w:u w:val="single"/>
        </w:rPr>
        <w:t>RETIREMENT PLANS</w:t>
      </w:r>
      <w:r w:rsidR="00943A30">
        <w:rPr>
          <w:b/>
          <w:sz w:val="28"/>
          <w:szCs w:val="24"/>
          <w:u w:val="single"/>
        </w:rPr>
        <w:t xml:space="preserve"> FINANCIAL IMPACT</w:t>
      </w:r>
      <w:bookmarkEnd w:id="18"/>
    </w:p>
    <w:p w14:paraId="3D07F6F0" w14:textId="77777777" w:rsidR="00442BA7" w:rsidRDefault="00442BA7" w:rsidP="00442BA7">
      <w:pPr>
        <w:rPr>
          <w:caps/>
          <w:sz w:val="24"/>
          <w:szCs w:val="24"/>
        </w:rPr>
      </w:pPr>
    </w:p>
    <w:p w14:paraId="6A83701A" w14:textId="5DC3D67A" w:rsidR="00442BA7" w:rsidRPr="00515957" w:rsidRDefault="00442BA7" w:rsidP="00442BA7">
      <w:pPr>
        <w:rPr>
          <w:caps/>
          <w:sz w:val="24"/>
          <w:szCs w:val="24"/>
        </w:rPr>
      </w:pPr>
      <w:r>
        <w:rPr>
          <w:caps/>
          <w:sz w:val="24"/>
          <w:szCs w:val="24"/>
        </w:rPr>
        <w:t>a</w:t>
      </w:r>
      <w:r w:rsidRPr="00515957">
        <w:rPr>
          <w:caps/>
          <w:sz w:val="24"/>
          <w:szCs w:val="24"/>
        </w:rPr>
        <w:t xml:space="preserve">ctuarial Report </w:t>
      </w:r>
    </w:p>
    <w:p w14:paraId="4F708E9B" w14:textId="77777777" w:rsidR="00442BA7" w:rsidRDefault="00442BA7" w:rsidP="00442BA7">
      <w:pPr>
        <w:spacing w:line="240" w:lineRule="auto"/>
      </w:pPr>
      <w:r>
        <w:t xml:space="preserve">Each year, the University completes an actuarial valuation report for the University of Missouri Retirement, Disability and Death Benefit Plan (the “RDD Plan”) which provides the required contribution for the upcoming fiscal year for this plan. The valuation is presented annually as an Information Item. A second core retirement plan, named the Employee Retirement Investment Plan (the “ERIP”), was developed in 2012. Employees hired by the University on or after October 1, 2012, are participants in the ERIP plan. </w:t>
      </w:r>
    </w:p>
    <w:p w14:paraId="2C1B9F22" w14:textId="4B240924" w:rsidR="00442BA7" w:rsidRDefault="00442BA7" w:rsidP="00442BA7">
      <w:pPr>
        <w:spacing w:line="240" w:lineRule="auto"/>
      </w:pPr>
      <w:r>
        <w:t xml:space="preserve">Participation over time will shift from a majority in the RDD Plan to the majority in the ERIP; therefore, the annual information item for the Board of Curators is expanded to provide an overall Annual Retirement Plan report, which includes the annual valuation for the RDD Plan. This approach provides broader information regarding the participation, performance and </w:t>
      </w:r>
      <w:r>
        <w:lastRenderedPageBreak/>
        <w:t>contributions to the University’s retirement plans. A copy of the valuation report has been included for review as an attachment.</w:t>
      </w:r>
    </w:p>
    <w:p w14:paraId="3AB4B87D" w14:textId="77777777" w:rsidR="00442BA7" w:rsidRPr="00515957" w:rsidRDefault="00442BA7" w:rsidP="00442BA7">
      <w:pPr>
        <w:spacing w:line="240" w:lineRule="auto"/>
        <w:rPr>
          <w:sz w:val="24"/>
          <w:szCs w:val="24"/>
        </w:rPr>
      </w:pPr>
      <w:r w:rsidRPr="00515957">
        <w:rPr>
          <w:sz w:val="24"/>
          <w:szCs w:val="24"/>
        </w:rPr>
        <w:t>REQUIRED CONTRIBUTION</w:t>
      </w:r>
    </w:p>
    <w:p w14:paraId="294C30E3" w14:textId="1939C513" w:rsidR="009C78FD" w:rsidRDefault="009C78FD" w:rsidP="009C78FD">
      <w:r>
        <w:t>The RDD Plan’s required contribution for FY20 is 11.18% of payroll compared to 11.13% for FY19. The FY20 required contribution is based on an assumed 7.20% investment return and a 30-year closed amortization period. The University funds 9.87% along with the employee contribution of 1.31%, meeting the 11.18% required contribution for FY20.</w:t>
      </w:r>
    </w:p>
    <w:p w14:paraId="584A31C2" w14:textId="77777777" w:rsidR="00441901" w:rsidRDefault="00441901" w:rsidP="009C78FD">
      <w:pPr>
        <w:rPr>
          <w:color w:val="1F497D"/>
        </w:rPr>
      </w:pPr>
    </w:p>
    <w:p w14:paraId="4164DE49" w14:textId="4744EF2B" w:rsidR="00CB6142" w:rsidRPr="00441901" w:rsidRDefault="00CB6142" w:rsidP="00441901">
      <w:pPr>
        <w:pStyle w:val="ListParagraph"/>
        <w:numPr>
          <w:ilvl w:val="0"/>
          <w:numId w:val="1"/>
        </w:numPr>
        <w:spacing w:line="240" w:lineRule="auto"/>
        <w:rPr>
          <w:b/>
          <w:sz w:val="28"/>
          <w:szCs w:val="24"/>
          <w:u w:val="single"/>
        </w:rPr>
      </w:pPr>
      <w:r w:rsidRPr="00441901">
        <w:rPr>
          <w:b/>
          <w:sz w:val="28"/>
          <w:szCs w:val="24"/>
          <w:u w:val="single"/>
        </w:rPr>
        <w:t>RETIREMENT TRENDS</w:t>
      </w:r>
    </w:p>
    <w:p w14:paraId="03C35A72" w14:textId="538F510B" w:rsidR="000C0001" w:rsidRDefault="000C0001" w:rsidP="000C0001">
      <w:pPr>
        <w:tabs>
          <w:tab w:val="left" w:pos="8520"/>
        </w:tabs>
        <w:rPr>
          <w:szCs w:val="24"/>
        </w:rPr>
      </w:pPr>
      <w:r>
        <w:rPr>
          <w:szCs w:val="24"/>
        </w:rPr>
        <w:t xml:space="preserve">The number of annual retirements has </w:t>
      </w:r>
      <w:r w:rsidR="00CD1418">
        <w:rPr>
          <w:szCs w:val="24"/>
        </w:rPr>
        <w:t>remained steady over the past several</w:t>
      </w:r>
      <w:r>
        <w:rPr>
          <w:szCs w:val="24"/>
        </w:rPr>
        <w:t xml:space="preserve"> years, with a spike in 2017 due to changes in retiree health insurance eligibility, which became effective January 1, 2018. </w:t>
      </w:r>
    </w:p>
    <w:p w14:paraId="2D087258" w14:textId="172616D0" w:rsidR="00EF5C78" w:rsidRDefault="000C0001" w:rsidP="00EF5C78">
      <w:pPr>
        <w:tabs>
          <w:tab w:val="left" w:pos="8520"/>
        </w:tabs>
        <w:rPr>
          <w:szCs w:val="24"/>
        </w:rPr>
      </w:pPr>
      <w:r>
        <w:rPr>
          <w:noProof/>
        </w:rPr>
        <w:drawing>
          <wp:inline distT="0" distB="0" distL="0" distR="0" wp14:anchorId="2B45D865" wp14:editId="762BE700">
            <wp:extent cx="5486400" cy="2839085"/>
            <wp:effectExtent l="0" t="0" r="0" b="0"/>
            <wp:docPr id="8" name="Picture 8" descr="cid:image002.png@01D4D4D3.7E6C6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D4D3.7E6C6D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86400" cy="2839085"/>
                    </a:xfrm>
                    <a:prstGeom prst="rect">
                      <a:avLst/>
                    </a:prstGeom>
                    <a:noFill/>
                    <a:ln>
                      <a:noFill/>
                    </a:ln>
                    <a:effectLst>
                      <a:outerShdw sx="1000" sy="1000" algn="ctr" rotWithShape="0">
                        <a:srgbClr val="000000"/>
                      </a:outerShdw>
                    </a:effectLst>
                  </pic:spPr>
                </pic:pic>
              </a:graphicData>
            </a:graphic>
          </wp:inline>
        </w:drawing>
      </w:r>
    </w:p>
    <w:p w14:paraId="7705BA02" w14:textId="77777777" w:rsidR="000C0001" w:rsidRPr="00F51657" w:rsidRDefault="000C0001" w:rsidP="000C0001">
      <w:pPr>
        <w:tabs>
          <w:tab w:val="left" w:pos="8520"/>
        </w:tabs>
        <w:spacing w:line="257" w:lineRule="auto"/>
        <w:rPr>
          <w:sz w:val="16"/>
          <w:szCs w:val="24"/>
        </w:rPr>
      </w:pPr>
      <w:r w:rsidRPr="00F51657">
        <w:rPr>
          <w:sz w:val="16"/>
          <w:szCs w:val="24"/>
        </w:rPr>
        <w:t>*2017 numbers include increased retirements due to retiree insurance changes effective January 1, 2018</w:t>
      </w:r>
    </w:p>
    <w:p w14:paraId="31BDDD48" w14:textId="77777777" w:rsidR="000C0001" w:rsidRDefault="000C0001" w:rsidP="000C0001">
      <w:pPr>
        <w:tabs>
          <w:tab w:val="left" w:pos="8520"/>
        </w:tabs>
        <w:rPr>
          <w:szCs w:val="24"/>
        </w:rPr>
      </w:pPr>
      <w:r>
        <w:rPr>
          <w:szCs w:val="24"/>
        </w:rPr>
        <w:t xml:space="preserve">Although the eligibility changes drove a record number of retirements in 2017, it is anticipated that the number of annual retirements will continue to climb over the next several years due to the University’s aging population. A total of 19.5% of the University’s population is currently eligible for retirement (4.5% normal retirement, 15% early retirement). </w:t>
      </w:r>
    </w:p>
    <w:p w14:paraId="139E385A" w14:textId="3D267C26" w:rsidR="00756771" w:rsidRDefault="000C0001" w:rsidP="00EF5C78">
      <w:pPr>
        <w:tabs>
          <w:tab w:val="left" w:pos="8520"/>
        </w:tabs>
        <w:jc w:val="center"/>
        <w:rPr>
          <w:szCs w:val="24"/>
        </w:rPr>
      </w:pPr>
      <w:r>
        <w:rPr>
          <w:noProof/>
        </w:rPr>
        <w:lastRenderedPageBreak/>
        <w:drawing>
          <wp:inline distT="0" distB="0" distL="0" distR="0" wp14:anchorId="230ACCC7" wp14:editId="6E7FC1CB">
            <wp:extent cx="5486400" cy="3086735"/>
            <wp:effectExtent l="0" t="0" r="0" b="0"/>
            <wp:docPr id="9" name="Picture 9" descr="cid:image003.png@01D4D594.77A0F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D594.77A0F3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486400" cy="3086735"/>
                    </a:xfrm>
                    <a:prstGeom prst="rect">
                      <a:avLst/>
                    </a:prstGeom>
                    <a:noFill/>
                    <a:ln>
                      <a:noFill/>
                    </a:ln>
                  </pic:spPr>
                </pic:pic>
              </a:graphicData>
            </a:graphic>
          </wp:inline>
        </w:drawing>
      </w:r>
    </w:p>
    <w:p w14:paraId="06524E8A" w14:textId="77777777" w:rsidR="0012095F" w:rsidRPr="00C40EE4" w:rsidRDefault="0012095F" w:rsidP="00C40EE4">
      <w:pPr>
        <w:spacing w:after="0" w:line="240" w:lineRule="auto"/>
        <w:rPr>
          <w:rFonts w:ascii="Times New Roman" w:hAnsi="Times New Roman" w:cs="Times New Roman"/>
          <w:sz w:val="24"/>
          <w:szCs w:val="24"/>
        </w:rPr>
      </w:pPr>
    </w:p>
    <w:p w14:paraId="71D79683" w14:textId="77777777" w:rsidR="00EF5C78" w:rsidRDefault="00EF5C78" w:rsidP="00430333">
      <w:pPr>
        <w:pStyle w:val="ListParagraph"/>
        <w:numPr>
          <w:ilvl w:val="0"/>
          <w:numId w:val="1"/>
        </w:numPr>
        <w:tabs>
          <w:tab w:val="left" w:pos="8520"/>
        </w:tabs>
        <w:outlineLvl w:val="0"/>
        <w:rPr>
          <w:b/>
          <w:sz w:val="28"/>
          <w:szCs w:val="24"/>
          <w:u w:val="single"/>
        </w:rPr>
      </w:pPr>
      <w:bookmarkStart w:id="19" w:name="_Toc3878084"/>
      <w:r>
        <w:rPr>
          <w:b/>
          <w:sz w:val="28"/>
          <w:szCs w:val="24"/>
          <w:u w:val="single"/>
        </w:rPr>
        <w:t>STRATEGIC DIRECTION</w:t>
      </w:r>
      <w:bookmarkEnd w:id="19"/>
    </w:p>
    <w:p w14:paraId="76B6214A" w14:textId="0F9F8F38" w:rsidR="00EF5C78" w:rsidRDefault="006A301A" w:rsidP="00EF5C78">
      <w:pPr>
        <w:tabs>
          <w:tab w:val="left" w:pos="8520"/>
        </w:tabs>
        <w:rPr>
          <w:szCs w:val="24"/>
        </w:rPr>
      </w:pPr>
      <w:r>
        <w:rPr>
          <w:szCs w:val="24"/>
        </w:rPr>
        <w:t xml:space="preserve">The </w:t>
      </w:r>
      <w:r w:rsidR="00EF5C78">
        <w:rPr>
          <w:szCs w:val="24"/>
        </w:rPr>
        <w:t xml:space="preserve">University </w:t>
      </w:r>
      <w:r w:rsidR="003D21AB">
        <w:rPr>
          <w:szCs w:val="24"/>
        </w:rPr>
        <w:t>Of Missouri System Office Of</w:t>
      </w:r>
      <w:r w:rsidR="00CD1418">
        <w:rPr>
          <w:szCs w:val="24"/>
        </w:rPr>
        <w:t xml:space="preserve"> </w:t>
      </w:r>
      <w:r w:rsidR="004E12C8">
        <w:rPr>
          <w:szCs w:val="24"/>
        </w:rPr>
        <w:t xml:space="preserve">Human Resources </w:t>
      </w:r>
      <w:r w:rsidR="00201ECD">
        <w:rPr>
          <w:szCs w:val="24"/>
        </w:rPr>
        <w:t>continues to</w:t>
      </w:r>
      <w:r w:rsidR="004E12C8">
        <w:rPr>
          <w:szCs w:val="24"/>
        </w:rPr>
        <w:t xml:space="preserve"> engag</w:t>
      </w:r>
      <w:r w:rsidR="00201ECD">
        <w:rPr>
          <w:szCs w:val="24"/>
        </w:rPr>
        <w:t>e</w:t>
      </w:r>
      <w:r w:rsidR="004E12C8">
        <w:rPr>
          <w:szCs w:val="24"/>
        </w:rPr>
        <w:t xml:space="preserve"> </w:t>
      </w:r>
      <w:r w:rsidR="00B25A0B">
        <w:rPr>
          <w:szCs w:val="24"/>
        </w:rPr>
        <w:t>T</w:t>
      </w:r>
      <w:r w:rsidR="004E12C8">
        <w:rPr>
          <w:szCs w:val="24"/>
        </w:rPr>
        <w:t>RAC</w:t>
      </w:r>
      <w:r w:rsidR="00EF5C78">
        <w:rPr>
          <w:szCs w:val="24"/>
        </w:rPr>
        <w:t>, a critical stakeholder group from all campuses and MU Healthcare, to review our benefit and retirement offerings.</w:t>
      </w:r>
      <w:r w:rsidR="00880E79">
        <w:rPr>
          <w:szCs w:val="24"/>
        </w:rPr>
        <w:t xml:space="preserve"> S</w:t>
      </w:r>
      <w:r w:rsidR="00EF5C78">
        <w:rPr>
          <w:szCs w:val="24"/>
        </w:rPr>
        <w:t xml:space="preserve">ignificant work is </w:t>
      </w:r>
      <w:r w:rsidR="00880E79">
        <w:rPr>
          <w:szCs w:val="24"/>
        </w:rPr>
        <w:t xml:space="preserve">also </w:t>
      </w:r>
      <w:r w:rsidR="00EF5C78">
        <w:rPr>
          <w:szCs w:val="24"/>
        </w:rPr>
        <w:t xml:space="preserve">being accomplished through partnerships and collaborations to assess the options and feasibility of potential plan design changes. </w:t>
      </w:r>
      <w:r w:rsidR="00201ECD">
        <w:rPr>
          <w:szCs w:val="24"/>
        </w:rPr>
        <w:t>In the near future, we are anticipating discussions and potential strategic directions in the following areas:</w:t>
      </w:r>
    </w:p>
    <w:p w14:paraId="213EE560" w14:textId="0CB428A0" w:rsidR="005142A3" w:rsidRDefault="006B64B6" w:rsidP="005142A3">
      <w:pPr>
        <w:pStyle w:val="ListParagraph"/>
        <w:numPr>
          <w:ilvl w:val="0"/>
          <w:numId w:val="17"/>
        </w:numPr>
        <w:tabs>
          <w:tab w:val="left" w:pos="8520"/>
        </w:tabs>
        <w:rPr>
          <w:b/>
          <w:szCs w:val="24"/>
        </w:rPr>
      </w:pPr>
      <w:r>
        <w:rPr>
          <w:b/>
          <w:szCs w:val="24"/>
        </w:rPr>
        <w:t>Potential benefit package enhancements</w:t>
      </w:r>
      <w:r w:rsidR="005142A3">
        <w:rPr>
          <w:b/>
          <w:szCs w:val="24"/>
        </w:rPr>
        <w:t xml:space="preserve"> - </w:t>
      </w:r>
      <w:r w:rsidR="005142A3" w:rsidRPr="005142A3">
        <w:t xml:space="preserve">We are </w:t>
      </w:r>
      <w:r w:rsidR="005142A3">
        <w:t>reviewing the feasibility</w:t>
      </w:r>
      <w:r w:rsidR="005142A3" w:rsidRPr="005142A3">
        <w:t xml:space="preserve"> of adding Short-Term Disability </w:t>
      </w:r>
      <w:r w:rsidR="00AF0C11">
        <w:t>as a</w:t>
      </w:r>
      <w:r w:rsidR="005142A3">
        <w:t xml:space="preserve"> </w:t>
      </w:r>
      <w:r w:rsidR="005142A3" w:rsidRPr="005142A3">
        <w:t>voluntary benefit for employees</w:t>
      </w:r>
      <w:r w:rsidR="00D75B34">
        <w:t xml:space="preserve">.  If added, the benefit would be paid by the employee.  </w:t>
      </w:r>
      <w:r w:rsidR="005142A3" w:rsidRPr="005142A3">
        <w:t xml:space="preserve">In coordination with Short-Term Disability, we are reviewing </w:t>
      </w:r>
      <w:r w:rsidR="008B53C8">
        <w:t>a</w:t>
      </w:r>
      <w:r w:rsidR="005142A3" w:rsidRPr="005142A3">
        <w:t xml:space="preserve"> Parental Leave Policy</w:t>
      </w:r>
      <w:r w:rsidR="005142A3">
        <w:t>.</w:t>
      </w:r>
    </w:p>
    <w:p w14:paraId="04F249AD" w14:textId="77777777" w:rsidR="005142A3" w:rsidRPr="005142A3" w:rsidRDefault="005142A3" w:rsidP="005142A3">
      <w:pPr>
        <w:pStyle w:val="ListParagraph"/>
        <w:rPr>
          <w:b/>
          <w:szCs w:val="24"/>
        </w:rPr>
      </w:pPr>
    </w:p>
    <w:p w14:paraId="69B75888" w14:textId="70417ACD" w:rsidR="005142A3" w:rsidRPr="005142A3" w:rsidRDefault="005142A3" w:rsidP="005142A3">
      <w:pPr>
        <w:pStyle w:val="ListParagraph"/>
        <w:numPr>
          <w:ilvl w:val="0"/>
          <w:numId w:val="17"/>
        </w:numPr>
        <w:tabs>
          <w:tab w:val="left" w:pos="8520"/>
        </w:tabs>
        <w:rPr>
          <w:b/>
          <w:szCs w:val="24"/>
        </w:rPr>
      </w:pPr>
      <w:r>
        <w:rPr>
          <w:b/>
          <w:szCs w:val="24"/>
        </w:rPr>
        <w:t>Life Insurance</w:t>
      </w:r>
      <w:r>
        <w:t xml:space="preserve"> – A review of market rates is being conducted to determine if improved options are available for life insurance carriers and rates for employees.</w:t>
      </w:r>
    </w:p>
    <w:p w14:paraId="0609FACB" w14:textId="77777777" w:rsidR="005142A3" w:rsidRPr="005142A3" w:rsidRDefault="005142A3" w:rsidP="005142A3">
      <w:pPr>
        <w:pStyle w:val="ListParagraph"/>
        <w:rPr>
          <w:b/>
          <w:szCs w:val="24"/>
        </w:rPr>
      </w:pPr>
    </w:p>
    <w:p w14:paraId="01B86ABC" w14:textId="5F4EBFD1" w:rsidR="005142A3" w:rsidRPr="00AF0C11" w:rsidRDefault="00AF0C11" w:rsidP="005142A3">
      <w:pPr>
        <w:pStyle w:val="ListParagraph"/>
        <w:numPr>
          <w:ilvl w:val="0"/>
          <w:numId w:val="17"/>
        </w:numPr>
        <w:tabs>
          <w:tab w:val="left" w:pos="8520"/>
        </w:tabs>
        <w:rPr>
          <w:szCs w:val="24"/>
        </w:rPr>
      </w:pPr>
      <w:r>
        <w:rPr>
          <w:b/>
          <w:szCs w:val="24"/>
        </w:rPr>
        <w:t xml:space="preserve">Premium Cost Share 5-Year Plan – </w:t>
      </w:r>
      <w:r>
        <w:rPr>
          <w:szCs w:val="24"/>
        </w:rPr>
        <w:t>Continue analysis and implementation of</w:t>
      </w:r>
      <w:r w:rsidR="00C54984" w:rsidRPr="00AF0C11">
        <w:rPr>
          <w:szCs w:val="24"/>
        </w:rPr>
        <w:t xml:space="preserve"> </w:t>
      </w:r>
      <w:r w:rsidR="00302329" w:rsidRPr="00AF0C11">
        <w:rPr>
          <w:szCs w:val="24"/>
        </w:rPr>
        <w:t>5-year plan</w:t>
      </w:r>
      <w:r>
        <w:rPr>
          <w:szCs w:val="24"/>
        </w:rPr>
        <w:t xml:space="preserve">, effective 1/1/19, </w:t>
      </w:r>
      <w:r w:rsidR="00C54984" w:rsidRPr="00AF0C11">
        <w:rPr>
          <w:szCs w:val="24"/>
        </w:rPr>
        <w:t xml:space="preserve">to </w:t>
      </w:r>
      <w:r>
        <w:rPr>
          <w:szCs w:val="24"/>
        </w:rPr>
        <w:t>align</w:t>
      </w:r>
      <w:r w:rsidR="00C54984" w:rsidRPr="00AF0C11">
        <w:rPr>
          <w:szCs w:val="24"/>
        </w:rPr>
        <w:t xml:space="preserve"> </w:t>
      </w:r>
      <w:r w:rsidR="00E974DE" w:rsidRPr="00AF0C11">
        <w:rPr>
          <w:szCs w:val="24"/>
        </w:rPr>
        <w:t xml:space="preserve">premium cost sharing </w:t>
      </w:r>
      <w:r w:rsidR="002F00E2" w:rsidRPr="00AF0C11">
        <w:rPr>
          <w:szCs w:val="24"/>
        </w:rPr>
        <w:t>with</w:t>
      </w:r>
      <w:r w:rsidR="00E974DE" w:rsidRPr="00AF0C11">
        <w:rPr>
          <w:szCs w:val="24"/>
        </w:rPr>
        <w:t xml:space="preserve"> actuarial equivalent amount</w:t>
      </w:r>
      <w:r w:rsidR="00451EB1" w:rsidRPr="00AF0C11">
        <w:rPr>
          <w:szCs w:val="24"/>
        </w:rPr>
        <w:t>s</w:t>
      </w:r>
      <w:r w:rsidR="00E974DE" w:rsidRPr="00AF0C11">
        <w:rPr>
          <w:szCs w:val="24"/>
        </w:rPr>
        <w:t xml:space="preserve"> for </w:t>
      </w:r>
      <w:r w:rsidR="00451EB1" w:rsidRPr="00AF0C11">
        <w:rPr>
          <w:szCs w:val="24"/>
        </w:rPr>
        <w:t xml:space="preserve">active employee </w:t>
      </w:r>
      <w:r w:rsidR="00E974DE" w:rsidRPr="00AF0C11">
        <w:rPr>
          <w:szCs w:val="24"/>
        </w:rPr>
        <w:t xml:space="preserve">dependent coverage and </w:t>
      </w:r>
      <w:r w:rsidR="00451EB1" w:rsidRPr="00AF0C11">
        <w:rPr>
          <w:szCs w:val="24"/>
        </w:rPr>
        <w:t xml:space="preserve">for </w:t>
      </w:r>
      <w:r w:rsidR="00E974DE" w:rsidRPr="00AF0C11">
        <w:rPr>
          <w:szCs w:val="24"/>
        </w:rPr>
        <w:t>r</w:t>
      </w:r>
      <w:r w:rsidR="00451EB1" w:rsidRPr="00AF0C11">
        <w:rPr>
          <w:szCs w:val="24"/>
        </w:rPr>
        <w:t>etirees</w:t>
      </w:r>
      <w:r>
        <w:rPr>
          <w:szCs w:val="24"/>
        </w:rPr>
        <w:t>.</w:t>
      </w:r>
    </w:p>
    <w:p w14:paraId="59B7193F" w14:textId="77777777" w:rsidR="005142A3" w:rsidRPr="005142A3" w:rsidRDefault="005142A3" w:rsidP="005142A3">
      <w:pPr>
        <w:pStyle w:val="ListParagraph"/>
        <w:rPr>
          <w:b/>
          <w:szCs w:val="24"/>
        </w:rPr>
      </w:pPr>
    </w:p>
    <w:p w14:paraId="24EBB099" w14:textId="6EA700A2" w:rsidR="005F4B1C" w:rsidRPr="005F4B1C" w:rsidRDefault="00AF0C11" w:rsidP="00384678">
      <w:pPr>
        <w:pStyle w:val="ListParagraph"/>
        <w:numPr>
          <w:ilvl w:val="0"/>
          <w:numId w:val="17"/>
        </w:numPr>
        <w:tabs>
          <w:tab w:val="left" w:pos="8520"/>
        </w:tabs>
        <w:rPr>
          <w:b/>
          <w:szCs w:val="24"/>
        </w:rPr>
      </w:pPr>
      <w:r w:rsidRPr="005F4B1C">
        <w:rPr>
          <w:b/>
          <w:szCs w:val="24"/>
        </w:rPr>
        <w:t xml:space="preserve">Proposal of a new retirement plan for future employees </w:t>
      </w:r>
      <w:r w:rsidR="005F4B1C" w:rsidRPr="005F4B1C">
        <w:rPr>
          <w:b/>
          <w:szCs w:val="24"/>
        </w:rPr>
        <w:t>–</w:t>
      </w:r>
      <w:r w:rsidRPr="005F4B1C">
        <w:rPr>
          <w:b/>
          <w:szCs w:val="24"/>
        </w:rPr>
        <w:t xml:space="preserve"> </w:t>
      </w:r>
      <w:r w:rsidR="005151F7">
        <w:rPr>
          <w:szCs w:val="24"/>
        </w:rPr>
        <w:t>In collaboration with TRAC</w:t>
      </w:r>
      <w:r w:rsidR="005F4B1C" w:rsidRPr="005F4B1C">
        <w:rPr>
          <w:szCs w:val="24"/>
        </w:rPr>
        <w:t xml:space="preserve">, university leaders and advisory groups, and outside consultants, our office continues work to seek approval and implement a defined contribution plan for new employees hired on or after October 1, 2019. </w:t>
      </w:r>
    </w:p>
    <w:p w14:paraId="0D698A4F" w14:textId="77777777" w:rsidR="005F4B1C" w:rsidRPr="005142A3" w:rsidRDefault="005F4B1C" w:rsidP="005F4B1C">
      <w:pPr>
        <w:pStyle w:val="ListParagraph"/>
        <w:tabs>
          <w:tab w:val="left" w:pos="8520"/>
        </w:tabs>
        <w:rPr>
          <w:b/>
          <w:szCs w:val="24"/>
        </w:rPr>
      </w:pPr>
    </w:p>
    <w:p w14:paraId="25E7566A" w14:textId="6F2D1E61" w:rsidR="002D5051" w:rsidRPr="00C40EE4" w:rsidRDefault="002D5051" w:rsidP="005142A3">
      <w:pPr>
        <w:pStyle w:val="ListParagraph"/>
        <w:numPr>
          <w:ilvl w:val="0"/>
          <w:numId w:val="17"/>
        </w:numPr>
        <w:tabs>
          <w:tab w:val="left" w:pos="8520"/>
        </w:tabs>
        <w:rPr>
          <w:b/>
          <w:szCs w:val="24"/>
        </w:rPr>
      </w:pPr>
      <w:r w:rsidRPr="005142A3">
        <w:rPr>
          <w:b/>
          <w:szCs w:val="24"/>
        </w:rPr>
        <w:t>Fidelity and TIAA fee review to ensure cost effective plans</w:t>
      </w:r>
      <w:r w:rsidR="005F4B1C">
        <w:rPr>
          <w:b/>
          <w:szCs w:val="24"/>
        </w:rPr>
        <w:t xml:space="preserve"> – </w:t>
      </w:r>
      <w:r w:rsidR="005F4B1C">
        <w:rPr>
          <w:szCs w:val="24"/>
        </w:rPr>
        <w:t xml:space="preserve">We have engaged Willis Towers Watson to complete a fee review of </w:t>
      </w:r>
      <w:r w:rsidR="000001CA">
        <w:rPr>
          <w:szCs w:val="24"/>
        </w:rPr>
        <w:t xml:space="preserve">our defined contribution platforms </w:t>
      </w:r>
      <w:r w:rsidR="005F4B1C">
        <w:rPr>
          <w:szCs w:val="24"/>
        </w:rPr>
        <w:t xml:space="preserve">to </w:t>
      </w:r>
      <w:r w:rsidR="005F4B1C">
        <w:rPr>
          <w:szCs w:val="24"/>
        </w:rPr>
        <w:lastRenderedPageBreak/>
        <w:t xml:space="preserve">ensure </w:t>
      </w:r>
      <w:r w:rsidR="000001CA">
        <w:rPr>
          <w:szCs w:val="24"/>
        </w:rPr>
        <w:t xml:space="preserve">that the fee structures for our current scope of services are competitive with current market conditions. </w:t>
      </w:r>
      <w:r w:rsidR="00DB66B4">
        <w:rPr>
          <w:szCs w:val="24"/>
        </w:rPr>
        <w:t xml:space="preserve"> </w:t>
      </w:r>
    </w:p>
    <w:p w14:paraId="683B9605" w14:textId="77777777" w:rsidR="00C40EE4" w:rsidRPr="00C40EE4" w:rsidRDefault="00C40EE4" w:rsidP="00C40EE4">
      <w:pPr>
        <w:pStyle w:val="ListParagraph"/>
        <w:rPr>
          <w:b/>
          <w:szCs w:val="24"/>
        </w:rPr>
      </w:pPr>
    </w:p>
    <w:p w14:paraId="11616C48" w14:textId="5FED2074" w:rsidR="00EF5C78" w:rsidRDefault="00EF5C78" w:rsidP="00EF5C78">
      <w:pPr>
        <w:rPr>
          <w:szCs w:val="24"/>
        </w:rPr>
      </w:pPr>
      <w:r>
        <w:rPr>
          <w:szCs w:val="24"/>
        </w:rPr>
        <w:t>Thank you for the opportunity to provide this annual report. We look forward to continued improvements to ensure competitive and financially sustainable benefit and retirement programs for the University of Missouri</w:t>
      </w:r>
      <w:r w:rsidR="006A301A">
        <w:rPr>
          <w:szCs w:val="24"/>
        </w:rPr>
        <w:t xml:space="preserve"> System</w:t>
      </w:r>
      <w:r>
        <w:rPr>
          <w:szCs w:val="24"/>
        </w:rPr>
        <w:t>.</w:t>
      </w:r>
    </w:p>
    <w:p w14:paraId="6183AEC4" w14:textId="77777777" w:rsidR="00EF5C78" w:rsidRDefault="00EF5C78" w:rsidP="00EF5C78">
      <w:pPr>
        <w:rPr>
          <w:szCs w:val="24"/>
        </w:rPr>
      </w:pPr>
    </w:p>
    <w:p w14:paraId="13D48047" w14:textId="77777777" w:rsidR="00EF5C78" w:rsidRDefault="00EF5C78" w:rsidP="00EF5C78">
      <w:pPr>
        <w:tabs>
          <w:tab w:val="left" w:pos="8520"/>
        </w:tabs>
      </w:pPr>
    </w:p>
    <w:p w14:paraId="5A49ECEC" w14:textId="1B110116" w:rsidR="001C7BC1" w:rsidRDefault="001C7BC1">
      <w:pPr>
        <w:spacing w:line="259" w:lineRule="auto"/>
      </w:pPr>
      <w:r>
        <w:br w:type="page"/>
      </w:r>
    </w:p>
    <w:p w14:paraId="247FE7F1" w14:textId="77777777" w:rsidR="00880E79" w:rsidRDefault="00EF5C78" w:rsidP="00880E79">
      <w:pPr>
        <w:pStyle w:val="ListParagraph"/>
        <w:numPr>
          <w:ilvl w:val="0"/>
          <w:numId w:val="1"/>
        </w:numPr>
        <w:tabs>
          <w:tab w:val="left" w:pos="8520"/>
        </w:tabs>
        <w:outlineLvl w:val="0"/>
        <w:rPr>
          <w:b/>
          <w:sz w:val="28"/>
          <w:szCs w:val="24"/>
          <w:u w:val="single"/>
        </w:rPr>
      </w:pPr>
      <w:bookmarkStart w:id="20" w:name="_Toc3878085"/>
      <w:r w:rsidRPr="00880E79">
        <w:rPr>
          <w:b/>
          <w:sz w:val="28"/>
          <w:szCs w:val="24"/>
          <w:u w:val="single"/>
        </w:rPr>
        <w:lastRenderedPageBreak/>
        <w:t>ATTACHMENTS</w:t>
      </w:r>
      <w:bookmarkEnd w:id="20"/>
    </w:p>
    <w:p w14:paraId="0DC27206" w14:textId="6634719F" w:rsidR="00880E79" w:rsidRPr="00C54984" w:rsidRDefault="00EF5C78" w:rsidP="00C54984">
      <w:pPr>
        <w:pStyle w:val="ListParagraph"/>
        <w:numPr>
          <w:ilvl w:val="3"/>
          <w:numId w:val="1"/>
        </w:numPr>
        <w:outlineLvl w:val="1"/>
      </w:pPr>
      <w:bookmarkStart w:id="21" w:name="_Toc3878086"/>
      <w:r w:rsidRPr="00880E79">
        <w:rPr>
          <w:sz w:val="24"/>
          <w:szCs w:val="24"/>
        </w:rPr>
        <w:t>BENEFIT SUMMARY PLAN DOCUMENT CHANGE COMPARISON 1</w:t>
      </w:r>
      <w:r w:rsidR="00C54984">
        <w:rPr>
          <w:sz w:val="24"/>
          <w:szCs w:val="24"/>
        </w:rPr>
        <w:t>8</w:t>
      </w:r>
      <w:r w:rsidRPr="00880E79">
        <w:rPr>
          <w:sz w:val="24"/>
          <w:szCs w:val="24"/>
        </w:rPr>
        <w:t>-1</w:t>
      </w:r>
      <w:r w:rsidR="00C54984">
        <w:rPr>
          <w:sz w:val="24"/>
          <w:szCs w:val="24"/>
        </w:rPr>
        <w:t>9</w:t>
      </w:r>
      <w:bookmarkEnd w:id="21"/>
    </w:p>
    <w:tbl>
      <w:tblPr>
        <w:tblStyle w:val="TableGrid"/>
        <w:tblW w:w="10309" w:type="dxa"/>
        <w:jc w:val="center"/>
        <w:tblInd w:w="0" w:type="dxa"/>
        <w:tblLook w:val="04A0" w:firstRow="1" w:lastRow="0" w:firstColumn="1" w:lastColumn="0" w:noHBand="0" w:noVBand="1"/>
      </w:tblPr>
      <w:tblGrid>
        <w:gridCol w:w="2577"/>
        <w:gridCol w:w="2580"/>
        <w:gridCol w:w="2641"/>
        <w:gridCol w:w="2511"/>
      </w:tblGrid>
      <w:tr w:rsidR="00C54984" w14:paraId="16A2CCDA" w14:textId="77777777" w:rsidTr="00384678">
        <w:trPr>
          <w:trHeight w:val="529"/>
          <w:jc w:val="center"/>
        </w:trPr>
        <w:tc>
          <w:tcPr>
            <w:tcW w:w="2577" w:type="dxa"/>
          </w:tcPr>
          <w:p w14:paraId="0193CA9A" w14:textId="77777777" w:rsidR="00C54984" w:rsidRPr="009D4A92" w:rsidRDefault="00C54984" w:rsidP="00384678">
            <w:pPr>
              <w:rPr>
                <w:b/>
              </w:rPr>
            </w:pPr>
            <w:r>
              <w:rPr>
                <w:b/>
              </w:rPr>
              <w:softHyphen/>
            </w:r>
            <w:r>
              <w:rPr>
                <w:b/>
              </w:rPr>
              <w:softHyphen/>
            </w:r>
            <w:r>
              <w:rPr>
                <w:b/>
              </w:rPr>
              <w:softHyphen/>
            </w:r>
            <w:r>
              <w:rPr>
                <w:b/>
              </w:rPr>
              <w:softHyphen/>
            </w:r>
            <w:r>
              <w:rPr>
                <w:b/>
              </w:rPr>
              <w:softHyphen/>
            </w:r>
            <w:r>
              <w:rPr>
                <w:b/>
              </w:rPr>
              <w:softHyphen/>
            </w:r>
            <w:r w:rsidRPr="009D4A92">
              <w:rPr>
                <w:b/>
              </w:rPr>
              <w:t>Changes</w:t>
            </w:r>
          </w:p>
        </w:tc>
        <w:tc>
          <w:tcPr>
            <w:tcW w:w="2580" w:type="dxa"/>
          </w:tcPr>
          <w:p w14:paraId="1DD019EA" w14:textId="77777777" w:rsidR="00C54984" w:rsidRPr="009D4A92" w:rsidRDefault="00C54984" w:rsidP="00384678">
            <w:pPr>
              <w:jc w:val="center"/>
              <w:rPr>
                <w:b/>
              </w:rPr>
            </w:pPr>
            <w:r>
              <w:rPr>
                <w:b/>
              </w:rPr>
              <w:t>2018</w:t>
            </w:r>
          </w:p>
        </w:tc>
        <w:tc>
          <w:tcPr>
            <w:tcW w:w="2641" w:type="dxa"/>
          </w:tcPr>
          <w:p w14:paraId="537EE0AD" w14:textId="77777777" w:rsidR="00C54984" w:rsidRPr="009D4A92" w:rsidRDefault="00C54984" w:rsidP="00384678">
            <w:pPr>
              <w:jc w:val="center"/>
              <w:rPr>
                <w:b/>
              </w:rPr>
            </w:pPr>
            <w:r>
              <w:rPr>
                <w:b/>
              </w:rPr>
              <w:t>2019</w:t>
            </w:r>
          </w:p>
        </w:tc>
        <w:tc>
          <w:tcPr>
            <w:tcW w:w="2511" w:type="dxa"/>
          </w:tcPr>
          <w:p w14:paraId="457E3ACE" w14:textId="77777777" w:rsidR="00C54984" w:rsidRDefault="00C54984" w:rsidP="00384678">
            <w:pPr>
              <w:jc w:val="center"/>
              <w:rPr>
                <w:b/>
              </w:rPr>
            </w:pPr>
            <w:r>
              <w:rPr>
                <w:b/>
              </w:rPr>
              <w:t>Reason for Change</w:t>
            </w:r>
          </w:p>
        </w:tc>
      </w:tr>
      <w:tr w:rsidR="00C54984" w:rsidRPr="000C0001" w14:paraId="1DA10B63" w14:textId="77777777" w:rsidTr="00384678">
        <w:trPr>
          <w:trHeight w:val="529"/>
          <w:jc w:val="center"/>
        </w:trPr>
        <w:tc>
          <w:tcPr>
            <w:tcW w:w="2577" w:type="dxa"/>
          </w:tcPr>
          <w:p w14:paraId="7E997CC4" w14:textId="77777777" w:rsidR="00C54984" w:rsidRPr="000C0001" w:rsidRDefault="00C54984" w:rsidP="00384678">
            <w:pPr>
              <w:rPr>
                <w:sz w:val="22"/>
                <w:szCs w:val="22"/>
              </w:rPr>
            </w:pPr>
            <w:r w:rsidRPr="000C0001">
              <w:rPr>
                <w:sz w:val="22"/>
                <w:szCs w:val="22"/>
              </w:rPr>
              <w:t>Increase copays by $5 for primary and specialist visits</w:t>
            </w:r>
          </w:p>
        </w:tc>
        <w:tc>
          <w:tcPr>
            <w:tcW w:w="2580" w:type="dxa"/>
          </w:tcPr>
          <w:p w14:paraId="61546689" w14:textId="77777777" w:rsidR="00C54984" w:rsidRPr="000C0001" w:rsidRDefault="00C54984" w:rsidP="00384678">
            <w:pPr>
              <w:rPr>
                <w:sz w:val="22"/>
                <w:szCs w:val="22"/>
              </w:rPr>
            </w:pPr>
            <w:r w:rsidRPr="000C0001">
              <w:rPr>
                <w:sz w:val="22"/>
                <w:szCs w:val="22"/>
              </w:rPr>
              <w:t>$5 for primary care; $25 for specialist</w:t>
            </w:r>
          </w:p>
        </w:tc>
        <w:tc>
          <w:tcPr>
            <w:tcW w:w="2641" w:type="dxa"/>
          </w:tcPr>
          <w:p w14:paraId="7DEE6F01" w14:textId="77777777" w:rsidR="00C54984" w:rsidRPr="000C0001" w:rsidRDefault="00C54984" w:rsidP="00384678">
            <w:pPr>
              <w:rPr>
                <w:sz w:val="22"/>
                <w:szCs w:val="22"/>
              </w:rPr>
            </w:pPr>
            <w:r w:rsidRPr="000C0001">
              <w:rPr>
                <w:sz w:val="22"/>
                <w:szCs w:val="22"/>
              </w:rPr>
              <w:t>$10 for primary care; $30 for specialist</w:t>
            </w:r>
          </w:p>
        </w:tc>
        <w:tc>
          <w:tcPr>
            <w:tcW w:w="2511" w:type="dxa"/>
          </w:tcPr>
          <w:p w14:paraId="3F258661" w14:textId="77777777" w:rsidR="00C54984" w:rsidRPr="000C0001" w:rsidRDefault="00C54984" w:rsidP="00384678">
            <w:pPr>
              <w:rPr>
                <w:sz w:val="22"/>
                <w:szCs w:val="22"/>
              </w:rPr>
            </w:pPr>
            <w:r w:rsidRPr="000C0001">
              <w:rPr>
                <w:sz w:val="22"/>
                <w:szCs w:val="22"/>
              </w:rPr>
              <w:t>Shift in cost sharing to employee</w:t>
            </w:r>
          </w:p>
        </w:tc>
      </w:tr>
      <w:tr w:rsidR="00C54984" w:rsidRPr="000C0001" w14:paraId="2182D763" w14:textId="77777777" w:rsidTr="00384678">
        <w:trPr>
          <w:trHeight w:val="502"/>
          <w:jc w:val="center"/>
        </w:trPr>
        <w:tc>
          <w:tcPr>
            <w:tcW w:w="2577" w:type="dxa"/>
          </w:tcPr>
          <w:p w14:paraId="463E87C4" w14:textId="77777777" w:rsidR="00C54984" w:rsidRPr="000C0001" w:rsidRDefault="00C54984" w:rsidP="00384678">
            <w:pPr>
              <w:rPr>
                <w:sz w:val="22"/>
                <w:szCs w:val="22"/>
              </w:rPr>
            </w:pPr>
            <w:r w:rsidRPr="000C0001">
              <w:rPr>
                <w:sz w:val="22"/>
                <w:szCs w:val="22"/>
              </w:rPr>
              <w:t>Increase out-of-pocket maximum</w:t>
            </w:r>
          </w:p>
        </w:tc>
        <w:tc>
          <w:tcPr>
            <w:tcW w:w="2580" w:type="dxa"/>
          </w:tcPr>
          <w:p w14:paraId="67EB49E2" w14:textId="77777777" w:rsidR="00C54984" w:rsidRPr="000C0001" w:rsidRDefault="00C54984" w:rsidP="00384678">
            <w:pPr>
              <w:rPr>
                <w:sz w:val="22"/>
                <w:szCs w:val="22"/>
              </w:rPr>
            </w:pPr>
            <w:r w:rsidRPr="000C0001">
              <w:rPr>
                <w:sz w:val="22"/>
                <w:szCs w:val="22"/>
              </w:rPr>
              <w:t>Medical - $3,500/self-coverage; $7,000/family coverage</w:t>
            </w:r>
          </w:p>
          <w:p w14:paraId="487E6195" w14:textId="77777777" w:rsidR="00C54984" w:rsidRPr="000C0001" w:rsidRDefault="00C54984" w:rsidP="00384678">
            <w:pPr>
              <w:rPr>
                <w:sz w:val="22"/>
                <w:szCs w:val="22"/>
              </w:rPr>
            </w:pPr>
          </w:p>
          <w:p w14:paraId="33725BFC" w14:textId="77777777" w:rsidR="00C54984" w:rsidRPr="000C0001" w:rsidRDefault="00C54984" w:rsidP="00384678">
            <w:pPr>
              <w:rPr>
                <w:sz w:val="22"/>
                <w:szCs w:val="22"/>
              </w:rPr>
            </w:pPr>
            <w:r w:rsidRPr="000C0001">
              <w:rPr>
                <w:sz w:val="22"/>
                <w:szCs w:val="22"/>
              </w:rPr>
              <w:t>Prescription - $3,650/self-coverage; $7,300 /family coverage</w:t>
            </w:r>
          </w:p>
        </w:tc>
        <w:tc>
          <w:tcPr>
            <w:tcW w:w="2641" w:type="dxa"/>
          </w:tcPr>
          <w:p w14:paraId="453F97A1" w14:textId="77777777" w:rsidR="00C54984" w:rsidRPr="000C0001" w:rsidRDefault="00C54984" w:rsidP="00384678">
            <w:pPr>
              <w:rPr>
                <w:sz w:val="22"/>
                <w:szCs w:val="22"/>
              </w:rPr>
            </w:pPr>
            <w:r w:rsidRPr="000C0001">
              <w:rPr>
                <w:sz w:val="22"/>
                <w:szCs w:val="22"/>
              </w:rPr>
              <w:t xml:space="preserve"> Medical - $3,500/self-coverage; $7,000/family coverage</w:t>
            </w:r>
          </w:p>
          <w:p w14:paraId="33A8E776" w14:textId="77777777" w:rsidR="00C54984" w:rsidRPr="000C0001" w:rsidRDefault="00C54984" w:rsidP="00384678">
            <w:pPr>
              <w:rPr>
                <w:sz w:val="22"/>
                <w:szCs w:val="22"/>
              </w:rPr>
            </w:pPr>
          </w:p>
          <w:p w14:paraId="71C469E3" w14:textId="77777777" w:rsidR="00C54984" w:rsidRPr="000C0001" w:rsidRDefault="00C54984" w:rsidP="00384678">
            <w:pPr>
              <w:rPr>
                <w:sz w:val="22"/>
                <w:szCs w:val="22"/>
              </w:rPr>
            </w:pPr>
            <w:r w:rsidRPr="000C0001">
              <w:rPr>
                <w:sz w:val="22"/>
                <w:szCs w:val="22"/>
              </w:rPr>
              <w:t>Prescription - $4,400/self-coverage; $8,800/family coverage</w:t>
            </w:r>
          </w:p>
        </w:tc>
        <w:tc>
          <w:tcPr>
            <w:tcW w:w="2511" w:type="dxa"/>
          </w:tcPr>
          <w:p w14:paraId="171F295F" w14:textId="77777777" w:rsidR="00C54984" w:rsidRPr="000C0001" w:rsidRDefault="00C54984" w:rsidP="00384678">
            <w:pPr>
              <w:rPr>
                <w:sz w:val="22"/>
                <w:szCs w:val="22"/>
              </w:rPr>
            </w:pPr>
            <w:r w:rsidRPr="000C0001">
              <w:rPr>
                <w:sz w:val="22"/>
                <w:szCs w:val="22"/>
              </w:rPr>
              <w:t>Changed to meet 2019 IRS limits.  The increased limits were applied to pharmacy due to higher pharmacy cost trends.</w:t>
            </w:r>
          </w:p>
        </w:tc>
      </w:tr>
      <w:tr w:rsidR="00C54984" w:rsidRPr="000C0001" w14:paraId="05A34C3D" w14:textId="77777777" w:rsidTr="00384678">
        <w:trPr>
          <w:trHeight w:val="972"/>
          <w:jc w:val="center"/>
        </w:trPr>
        <w:tc>
          <w:tcPr>
            <w:tcW w:w="2577" w:type="dxa"/>
          </w:tcPr>
          <w:p w14:paraId="338DBB72" w14:textId="77777777" w:rsidR="00C54984" w:rsidRPr="000C0001" w:rsidRDefault="00C54984" w:rsidP="00384678">
            <w:pPr>
              <w:rPr>
                <w:sz w:val="22"/>
                <w:szCs w:val="22"/>
              </w:rPr>
            </w:pPr>
            <w:r w:rsidRPr="000C0001">
              <w:rPr>
                <w:sz w:val="22"/>
                <w:szCs w:val="22"/>
              </w:rPr>
              <w:t>Treat pregnancy and delivery as inpatient service in the Custom Network Plans</w:t>
            </w:r>
          </w:p>
        </w:tc>
        <w:tc>
          <w:tcPr>
            <w:tcW w:w="2580" w:type="dxa"/>
          </w:tcPr>
          <w:p w14:paraId="5F5CCD05" w14:textId="77777777" w:rsidR="00C54984" w:rsidRPr="000C0001" w:rsidRDefault="00C54984" w:rsidP="00384678">
            <w:pPr>
              <w:rPr>
                <w:sz w:val="22"/>
                <w:szCs w:val="22"/>
              </w:rPr>
            </w:pPr>
            <w:r w:rsidRPr="000C0001">
              <w:rPr>
                <w:sz w:val="22"/>
                <w:szCs w:val="22"/>
              </w:rPr>
              <w:t>$25 copay for maternity delivery</w:t>
            </w:r>
          </w:p>
        </w:tc>
        <w:tc>
          <w:tcPr>
            <w:tcW w:w="2641" w:type="dxa"/>
          </w:tcPr>
          <w:p w14:paraId="06321309" w14:textId="77777777" w:rsidR="00C54984" w:rsidRPr="000C0001" w:rsidRDefault="00C54984" w:rsidP="00384678">
            <w:pPr>
              <w:pStyle w:val="Default"/>
              <w:spacing w:after="79"/>
              <w:rPr>
                <w:rFonts w:asciiTheme="minorHAnsi" w:hAnsiTheme="minorHAnsi" w:cstheme="minorBidi"/>
                <w:color w:val="auto"/>
                <w:sz w:val="22"/>
                <w:szCs w:val="22"/>
              </w:rPr>
            </w:pPr>
            <w:r w:rsidRPr="000C0001">
              <w:rPr>
                <w:rFonts w:asciiTheme="minorHAnsi" w:hAnsiTheme="minorHAnsi" w:cstheme="minorBidi"/>
                <w:color w:val="auto"/>
                <w:sz w:val="22"/>
                <w:szCs w:val="22"/>
              </w:rPr>
              <w:t>$300 copay for maternity delivery</w:t>
            </w:r>
          </w:p>
        </w:tc>
        <w:tc>
          <w:tcPr>
            <w:tcW w:w="2511" w:type="dxa"/>
          </w:tcPr>
          <w:p w14:paraId="4A10E80E" w14:textId="77777777" w:rsidR="00C54984" w:rsidRPr="000C0001" w:rsidRDefault="00C54984" w:rsidP="00384678">
            <w:pPr>
              <w:rPr>
                <w:sz w:val="22"/>
                <w:szCs w:val="22"/>
              </w:rPr>
            </w:pPr>
            <w:r w:rsidRPr="000C0001">
              <w:rPr>
                <w:sz w:val="22"/>
                <w:szCs w:val="22"/>
              </w:rPr>
              <w:t>Changed to be consistent with other inpatient care copay</w:t>
            </w:r>
          </w:p>
        </w:tc>
      </w:tr>
      <w:tr w:rsidR="00C54984" w:rsidRPr="000C0001" w14:paraId="031BEDCF" w14:textId="77777777" w:rsidTr="00384678">
        <w:trPr>
          <w:trHeight w:val="972"/>
          <w:jc w:val="center"/>
        </w:trPr>
        <w:tc>
          <w:tcPr>
            <w:tcW w:w="2577" w:type="dxa"/>
          </w:tcPr>
          <w:p w14:paraId="64B069E5" w14:textId="77777777" w:rsidR="00C54984" w:rsidRPr="000C0001" w:rsidRDefault="00C54984" w:rsidP="00384678">
            <w:pPr>
              <w:rPr>
                <w:sz w:val="22"/>
                <w:szCs w:val="22"/>
              </w:rPr>
            </w:pPr>
            <w:r w:rsidRPr="000C0001">
              <w:rPr>
                <w:sz w:val="22"/>
                <w:szCs w:val="22"/>
              </w:rPr>
              <w:t>Removed Tobacco discount</w:t>
            </w:r>
          </w:p>
        </w:tc>
        <w:tc>
          <w:tcPr>
            <w:tcW w:w="2580" w:type="dxa"/>
          </w:tcPr>
          <w:p w14:paraId="5EDB56B3" w14:textId="77777777" w:rsidR="00C54984" w:rsidRPr="000C0001" w:rsidRDefault="00C54984" w:rsidP="00384678">
            <w:pPr>
              <w:rPr>
                <w:sz w:val="22"/>
                <w:szCs w:val="22"/>
              </w:rPr>
            </w:pPr>
            <w:r w:rsidRPr="000C0001">
              <w:rPr>
                <w:sz w:val="22"/>
                <w:szCs w:val="22"/>
              </w:rPr>
              <w:t>$50/month premium discount for non-tobacco users</w:t>
            </w:r>
          </w:p>
        </w:tc>
        <w:tc>
          <w:tcPr>
            <w:tcW w:w="2641" w:type="dxa"/>
          </w:tcPr>
          <w:p w14:paraId="1F99E912" w14:textId="77777777" w:rsidR="00C54984" w:rsidRPr="000C0001" w:rsidRDefault="00C54984" w:rsidP="00384678">
            <w:pPr>
              <w:rPr>
                <w:sz w:val="22"/>
                <w:szCs w:val="22"/>
              </w:rPr>
            </w:pPr>
            <w:r w:rsidRPr="000C0001">
              <w:rPr>
                <w:sz w:val="22"/>
                <w:szCs w:val="22"/>
              </w:rPr>
              <w:t>All employees are at the discounted premium level</w:t>
            </w:r>
          </w:p>
        </w:tc>
        <w:tc>
          <w:tcPr>
            <w:tcW w:w="2511" w:type="dxa"/>
          </w:tcPr>
          <w:p w14:paraId="6E8F1B6C" w14:textId="77777777" w:rsidR="00C54984" w:rsidRPr="000C0001" w:rsidRDefault="00C54984" w:rsidP="00384678">
            <w:pPr>
              <w:rPr>
                <w:sz w:val="22"/>
                <w:szCs w:val="22"/>
              </w:rPr>
            </w:pPr>
            <w:r w:rsidRPr="000C0001">
              <w:rPr>
                <w:sz w:val="22"/>
                <w:szCs w:val="22"/>
              </w:rPr>
              <w:t>86% of employees consistently indicated tobacco-free for past two years.   Reduced administration.</w:t>
            </w:r>
          </w:p>
        </w:tc>
      </w:tr>
      <w:tr w:rsidR="00C54984" w:rsidRPr="000C0001" w14:paraId="29A49144" w14:textId="77777777" w:rsidTr="00384678">
        <w:trPr>
          <w:trHeight w:val="972"/>
          <w:jc w:val="center"/>
        </w:trPr>
        <w:tc>
          <w:tcPr>
            <w:tcW w:w="2577" w:type="dxa"/>
          </w:tcPr>
          <w:p w14:paraId="617EBD25" w14:textId="77777777" w:rsidR="00C54984" w:rsidRPr="000C0001" w:rsidRDefault="00C54984" w:rsidP="00384678">
            <w:pPr>
              <w:rPr>
                <w:sz w:val="22"/>
                <w:szCs w:val="22"/>
              </w:rPr>
            </w:pPr>
            <w:r w:rsidRPr="000C0001">
              <w:rPr>
                <w:sz w:val="22"/>
                <w:szCs w:val="22"/>
              </w:rPr>
              <w:t>Annual Enrollment default</w:t>
            </w:r>
          </w:p>
        </w:tc>
        <w:tc>
          <w:tcPr>
            <w:tcW w:w="2580" w:type="dxa"/>
          </w:tcPr>
          <w:p w14:paraId="562B0EF5" w14:textId="77777777" w:rsidR="00C54984" w:rsidRPr="000C0001" w:rsidRDefault="00C54984" w:rsidP="00384678">
            <w:pPr>
              <w:rPr>
                <w:sz w:val="22"/>
                <w:szCs w:val="22"/>
              </w:rPr>
            </w:pPr>
            <w:r w:rsidRPr="000C0001">
              <w:rPr>
                <w:sz w:val="22"/>
                <w:szCs w:val="22"/>
              </w:rPr>
              <w:t>Default to Healthy Savings Plan if no election made during Annual Enrollment</w:t>
            </w:r>
          </w:p>
        </w:tc>
        <w:tc>
          <w:tcPr>
            <w:tcW w:w="2641" w:type="dxa"/>
          </w:tcPr>
          <w:p w14:paraId="4CE9A7AB" w14:textId="77777777" w:rsidR="00C54984" w:rsidRPr="000C0001" w:rsidRDefault="00C54984" w:rsidP="00384678">
            <w:pPr>
              <w:rPr>
                <w:sz w:val="22"/>
                <w:szCs w:val="22"/>
              </w:rPr>
            </w:pPr>
            <w:r w:rsidRPr="000C0001">
              <w:rPr>
                <w:sz w:val="22"/>
                <w:szCs w:val="22"/>
              </w:rPr>
              <w:t>Default to current medical enrollment  if no election made during Annual Enrollment</w:t>
            </w:r>
          </w:p>
        </w:tc>
        <w:tc>
          <w:tcPr>
            <w:tcW w:w="2511" w:type="dxa"/>
          </w:tcPr>
          <w:p w14:paraId="3AD21CB8" w14:textId="77777777" w:rsidR="00C54984" w:rsidRPr="000C0001" w:rsidRDefault="00C54984" w:rsidP="00384678">
            <w:pPr>
              <w:rPr>
                <w:sz w:val="22"/>
                <w:szCs w:val="22"/>
              </w:rPr>
            </w:pPr>
            <w:r w:rsidRPr="000C0001">
              <w:rPr>
                <w:sz w:val="22"/>
                <w:szCs w:val="22"/>
              </w:rPr>
              <w:t xml:space="preserve">Reduced administration </w:t>
            </w:r>
          </w:p>
        </w:tc>
      </w:tr>
      <w:tr w:rsidR="00C54984" w:rsidRPr="000C0001" w14:paraId="0143F348" w14:textId="77777777" w:rsidTr="00384678">
        <w:trPr>
          <w:trHeight w:val="529"/>
          <w:jc w:val="center"/>
        </w:trPr>
        <w:tc>
          <w:tcPr>
            <w:tcW w:w="2577" w:type="dxa"/>
          </w:tcPr>
          <w:p w14:paraId="2965B00D" w14:textId="77777777" w:rsidR="00C54984" w:rsidRPr="000C0001" w:rsidRDefault="00C54984" w:rsidP="00384678">
            <w:pPr>
              <w:rPr>
                <w:sz w:val="22"/>
                <w:szCs w:val="22"/>
              </w:rPr>
            </w:pPr>
            <w:r w:rsidRPr="000C0001">
              <w:rPr>
                <w:b/>
                <w:sz w:val="22"/>
                <w:szCs w:val="22"/>
              </w:rPr>
              <w:softHyphen/>
            </w:r>
            <w:r w:rsidRPr="000C0001">
              <w:rPr>
                <w:b/>
                <w:sz w:val="22"/>
                <w:szCs w:val="22"/>
              </w:rPr>
              <w:softHyphen/>
            </w:r>
            <w:r w:rsidRPr="000C0001">
              <w:rPr>
                <w:b/>
                <w:sz w:val="22"/>
                <w:szCs w:val="22"/>
              </w:rPr>
              <w:softHyphen/>
            </w:r>
            <w:r w:rsidRPr="000C0001">
              <w:rPr>
                <w:b/>
                <w:sz w:val="22"/>
                <w:szCs w:val="22"/>
              </w:rPr>
              <w:softHyphen/>
            </w:r>
            <w:r w:rsidRPr="000C0001">
              <w:rPr>
                <w:b/>
                <w:sz w:val="22"/>
                <w:szCs w:val="22"/>
              </w:rPr>
              <w:softHyphen/>
            </w:r>
            <w:r w:rsidRPr="000C0001">
              <w:rPr>
                <w:sz w:val="22"/>
                <w:szCs w:val="22"/>
              </w:rPr>
              <w:t>Flex Spending Account contribution increase</w:t>
            </w:r>
          </w:p>
        </w:tc>
        <w:tc>
          <w:tcPr>
            <w:tcW w:w="2580" w:type="dxa"/>
          </w:tcPr>
          <w:p w14:paraId="3D1FAE1A" w14:textId="77777777" w:rsidR="00C54984" w:rsidRPr="000C0001" w:rsidRDefault="00C54984" w:rsidP="00384678">
            <w:pPr>
              <w:rPr>
                <w:sz w:val="22"/>
                <w:szCs w:val="22"/>
              </w:rPr>
            </w:pPr>
            <w:r w:rsidRPr="000C0001">
              <w:rPr>
                <w:sz w:val="22"/>
                <w:szCs w:val="22"/>
              </w:rPr>
              <w:t>IRS limit $2,600</w:t>
            </w:r>
          </w:p>
        </w:tc>
        <w:tc>
          <w:tcPr>
            <w:tcW w:w="2641" w:type="dxa"/>
          </w:tcPr>
          <w:p w14:paraId="0366EAF3" w14:textId="77777777" w:rsidR="00C54984" w:rsidRPr="000C0001" w:rsidRDefault="00C54984" w:rsidP="00384678">
            <w:pPr>
              <w:rPr>
                <w:sz w:val="22"/>
                <w:szCs w:val="22"/>
              </w:rPr>
            </w:pPr>
            <w:r w:rsidRPr="000C0001">
              <w:rPr>
                <w:sz w:val="22"/>
                <w:szCs w:val="22"/>
              </w:rPr>
              <w:t>IRS limit $2,650</w:t>
            </w:r>
          </w:p>
        </w:tc>
        <w:tc>
          <w:tcPr>
            <w:tcW w:w="2511" w:type="dxa"/>
          </w:tcPr>
          <w:p w14:paraId="1E50150A" w14:textId="77777777" w:rsidR="00C54984" w:rsidRPr="000C0001" w:rsidRDefault="00C54984" w:rsidP="00384678">
            <w:pPr>
              <w:rPr>
                <w:sz w:val="22"/>
                <w:szCs w:val="22"/>
              </w:rPr>
            </w:pPr>
            <w:r w:rsidRPr="000C0001">
              <w:rPr>
                <w:sz w:val="22"/>
                <w:szCs w:val="22"/>
              </w:rPr>
              <w:t>Changed to meet 2019 IRS limits</w:t>
            </w:r>
          </w:p>
        </w:tc>
      </w:tr>
      <w:tr w:rsidR="00C54984" w:rsidRPr="000C0001" w14:paraId="6557AA49" w14:textId="77777777" w:rsidTr="00384678">
        <w:trPr>
          <w:trHeight w:val="1461"/>
          <w:jc w:val="center"/>
        </w:trPr>
        <w:tc>
          <w:tcPr>
            <w:tcW w:w="2577" w:type="dxa"/>
          </w:tcPr>
          <w:p w14:paraId="26D8D20C" w14:textId="77777777" w:rsidR="00C54984" w:rsidRPr="000C0001" w:rsidRDefault="00C54984" w:rsidP="00384678">
            <w:pPr>
              <w:rPr>
                <w:sz w:val="22"/>
                <w:szCs w:val="22"/>
              </w:rPr>
            </w:pPr>
            <w:r w:rsidRPr="000C0001">
              <w:rPr>
                <w:sz w:val="22"/>
                <w:szCs w:val="22"/>
              </w:rPr>
              <w:t>Wellness incentive payout structure</w:t>
            </w:r>
          </w:p>
        </w:tc>
        <w:tc>
          <w:tcPr>
            <w:tcW w:w="2580" w:type="dxa"/>
          </w:tcPr>
          <w:p w14:paraId="66FED560" w14:textId="77777777" w:rsidR="00C54984" w:rsidRPr="000C0001" w:rsidRDefault="00C54984" w:rsidP="00384678">
            <w:pPr>
              <w:rPr>
                <w:sz w:val="22"/>
                <w:szCs w:val="22"/>
              </w:rPr>
            </w:pPr>
            <w:r w:rsidRPr="000C0001">
              <w:rPr>
                <w:sz w:val="22"/>
                <w:szCs w:val="22"/>
              </w:rPr>
              <w:t>Must complete Tier 1 by April 30 to receive $50 in May and be eligible to participate in Tier 2 $400 payout in October.</w:t>
            </w:r>
          </w:p>
        </w:tc>
        <w:tc>
          <w:tcPr>
            <w:tcW w:w="2641" w:type="dxa"/>
          </w:tcPr>
          <w:p w14:paraId="594CA000" w14:textId="77777777" w:rsidR="00C54984" w:rsidRPr="000C0001" w:rsidRDefault="00C54984" w:rsidP="00384678">
            <w:pPr>
              <w:rPr>
                <w:sz w:val="22"/>
                <w:szCs w:val="22"/>
              </w:rPr>
            </w:pPr>
            <w:r w:rsidRPr="000C0001">
              <w:rPr>
                <w:sz w:val="22"/>
                <w:szCs w:val="22"/>
              </w:rPr>
              <w:t>Cycle 1 and Cycle 2 are independent of each other.  Complete Cycle 1 by April 30 to receive $225 in May.  Complete Cycle 2 by September 30 to receive $225 in October.</w:t>
            </w:r>
          </w:p>
        </w:tc>
        <w:tc>
          <w:tcPr>
            <w:tcW w:w="2511" w:type="dxa"/>
          </w:tcPr>
          <w:p w14:paraId="6BA2F32B" w14:textId="77777777" w:rsidR="00C54984" w:rsidRPr="000C0001" w:rsidRDefault="00C54984" w:rsidP="00384678">
            <w:pPr>
              <w:rPr>
                <w:sz w:val="22"/>
                <w:szCs w:val="22"/>
              </w:rPr>
            </w:pPr>
            <w:r w:rsidRPr="000C0001">
              <w:rPr>
                <w:sz w:val="22"/>
                <w:szCs w:val="22"/>
              </w:rPr>
              <w:t xml:space="preserve">Allow new hires after April 30 the opportunity to participate in the wellness program.  </w:t>
            </w:r>
          </w:p>
        </w:tc>
      </w:tr>
      <w:tr w:rsidR="00C54984" w:rsidRPr="000C0001" w14:paraId="64DF962B" w14:textId="77777777" w:rsidTr="00384678">
        <w:trPr>
          <w:trHeight w:val="108"/>
          <w:jc w:val="center"/>
        </w:trPr>
        <w:tc>
          <w:tcPr>
            <w:tcW w:w="2577" w:type="dxa"/>
          </w:tcPr>
          <w:p w14:paraId="6F2CA17C" w14:textId="77777777" w:rsidR="00C54984" w:rsidRPr="000C0001" w:rsidRDefault="00C54984" w:rsidP="00384678">
            <w:pPr>
              <w:rPr>
                <w:sz w:val="22"/>
                <w:szCs w:val="22"/>
              </w:rPr>
            </w:pPr>
            <w:r w:rsidRPr="000C0001">
              <w:rPr>
                <w:sz w:val="22"/>
                <w:szCs w:val="22"/>
              </w:rPr>
              <w:t>Increase premium factors for dependent coverage for active employees</w:t>
            </w:r>
          </w:p>
        </w:tc>
        <w:tc>
          <w:tcPr>
            <w:tcW w:w="2580" w:type="dxa"/>
          </w:tcPr>
          <w:p w14:paraId="1E3C12A0" w14:textId="77777777" w:rsidR="00C54984" w:rsidRPr="000C0001" w:rsidRDefault="00C54984" w:rsidP="00384678">
            <w:pPr>
              <w:rPr>
                <w:sz w:val="22"/>
                <w:szCs w:val="22"/>
              </w:rPr>
            </w:pPr>
            <w:r w:rsidRPr="000C0001">
              <w:rPr>
                <w:sz w:val="22"/>
                <w:szCs w:val="22"/>
              </w:rPr>
              <w:t>Self – 1.00</w:t>
            </w:r>
          </w:p>
          <w:p w14:paraId="01A35248" w14:textId="77777777" w:rsidR="00C54984" w:rsidRPr="000C0001" w:rsidRDefault="00C54984" w:rsidP="00384678">
            <w:pPr>
              <w:rPr>
                <w:sz w:val="22"/>
                <w:szCs w:val="22"/>
              </w:rPr>
            </w:pPr>
            <w:r w:rsidRPr="000C0001">
              <w:rPr>
                <w:sz w:val="22"/>
                <w:szCs w:val="22"/>
              </w:rPr>
              <w:t>Self + Spouse – 2.00</w:t>
            </w:r>
          </w:p>
          <w:p w14:paraId="71983293" w14:textId="77777777" w:rsidR="00C54984" w:rsidRPr="000C0001" w:rsidRDefault="00C54984" w:rsidP="00384678">
            <w:pPr>
              <w:rPr>
                <w:sz w:val="22"/>
                <w:szCs w:val="22"/>
              </w:rPr>
            </w:pPr>
            <w:r w:rsidRPr="000C0001">
              <w:rPr>
                <w:sz w:val="22"/>
                <w:szCs w:val="22"/>
              </w:rPr>
              <w:t>Self + Child(ren) – 1.71</w:t>
            </w:r>
          </w:p>
          <w:p w14:paraId="76D927DD" w14:textId="77777777" w:rsidR="00C54984" w:rsidRPr="000C0001" w:rsidRDefault="00C54984" w:rsidP="00384678">
            <w:pPr>
              <w:rPr>
                <w:sz w:val="22"/>
                <w:szCs w:val="22"/>
              </w:rPr>
            </w:pPr>
            <w:r w:rsidRPr="000C0001">
              <w:rPr>
                <w:sz w:val="22"/>
                <w:szCs w:val="22"/>
              </w:rPr>
              <w:t>Full Family – 2.82</w:t>
            </w:r>
          </w:p>
        </w:tc>
        <w:tc>
          <w:tcPr>
            <w:tcW w:w="2641" w:type="dxa"/>
          </w:tcPr>
          <w:p w14:paraId="03DB3569" w14:textId="77777777" w:rsidR="00C54984" w:rsidRPr="000C0001" w:rsidRDefault="00C54984" w:rsidP="00384678">
            <w:pPr>
              <w:rPr>
                <w:sz w:val="22"/>
                <w:szCs w:val="22"/>
              </w:rPr>
            </w:pPr>
            <w:r w:rsidRPr="000C0001">
              <w:rPr>
                <w:sz w:val="22"/>
                <w:szCs w:val="22"/>
              </w:rPr>
              <w:t>Self – 1.00</w:t>
            </w:r>
          </w:p>
          <w:p w14:paraId="0B9CB4D2" w14:textId="77777777" w:rsidR="00C54984" w:rsidRPr="000C0001" w:rsidRDefault="00C54984" w:rsidP="00384678">
            <w:pPr>
              <w:rPr>
                <w:sz w:val="22"/>
                <w:szCs w:val="22"/>
              </w:rPr>
            </w:pPr>
            <w:r w:rsidRPr="000C0001">
              <w:rPr>
                <w:sz w:val="22"/>
                <w:szCs w:val="22"/>
              </w:rPr>
              <w:t>Self + Spouse – 2.04</w:t>
            </w:r>
          </w:p>
          <w:p w14:paraId="15D18E32" w14:textId="77777777" w:rsidR="00C54984" w:rsidRPr="000C0001" w:rsidRDefault="00C54984" w:rsidP="00384678">
            <w:pPr>
              <w:rPr>
                <w:sz w:val="22"/>
                <w:szCs w:val="22"/>
              </w:rPr>
            </w:pPr>
            <w:r w:rsidRPr="000C0001">
              <w:rPr>
                <w:sz w:val="22"/>
                <w:szCs w:val="22"/>
              </w:rPr>
              <w:t>Self + Child(ren) – 1.81</w:t>
            </w:r>
          </w:p>
          <w:p w14:paraId="2348C698" w14:textId="77777777" w:rsidR="00C54984" w:rsidRPr="000C0001" w:rsidRDefault="00C54984" w:rsidP="00384678">
            <w:pPr>
              <w:rPr>
                <w:sz w:val="22"/>
                <w:szCs w:val="22"/>
              </w:rPr>
            </w:pPr>
            <w:r w:rsidRPr="000C0001">
              <w:rPr>
                <w:sz w:val="22"/>
                <w:szCs w:val="22"/>
              </w:rPr>
              <w:t>Full Family – 2.96</w:t>
            </w:r>
          </w:p>
        </w:tc>
        <w:tc>
          <w:tcPr>
            <w:tcW w:w="2511" w:type="dxa"/>
          </w:tcPr>
          <w:p w14:paraId="39F77210" w14:textId="77777777" w:rsidR="00C54984" w:rsidRPr="000C0001" w:rsidRDefault="00C54984" w:rsidP="00384678">
            <w:pPr>
              <w:rPr>
                <w:sz w:val="22"/>
                <w:szCs w:val="22"/>
              </w:rPr>
            </w:pPr>
            <w:r w:rsidRPr="000C0001">
              <w:rPr>
                <w:sz w:val="22"/>
                <w:szCs w:val="22"/>
              </w:rPr>
              <w:t>To transition cost of dependent coverage to actuarial factor values.</w:t>
            </w:r>
          </w:p>
        </w:tc>
      </w:tr>
      <w:tr w:rsidR="00C54984" w:rsidRPr="000C0001" w14:paraId="7E847EDF" w14:textId="77777777" w:rsidTr="00384678">
        <w:trPr>
          <w:trHeight w:val="248"/>
          <w:jc w:val="center"/>
        </w:trPr>
        <w:tc>
          <w:tcPr>
            <w:tcW w:w="2577" w:type="dxa"/>
          </w:tcPr>
          <w:p w14:paraId="7090DEF6" w14:textId="77777777" w:rsidR="00C54984" w:rsidRPr="000C0001" w:rsidRDefault="00C54984" w:rsidP="00384678">
            <w:pPr>
              <w:rPr>
                <w:sz w:val="22"/>
                <w:szCs w:val="22"/>
              </w:rPr>
            </w:pPr>
            <w:r w:rsidRPr="000C0001">
              <w:rPr>
                <w:sz w:val="22"/>
                <w:szCs w:val="22"/>
              </w:rPr>
              <w:t>Increase premium factors for dependent coverage for non-Medicare retirees</w:t>
            </w:r>
          </w:p>
        </w:tc>
        <w:tc>
          <w:tcPr>
            <w:tcW w:w="2580" w:type="dxa"/>
          </w:tcPr>
          <w:p w14:paraId="00C6806D" w14:textId="77777777" w:rsidR="00C54984" w:rsidRPr="000C0001" w:rsidRDefault="00C54984" w:rsidP="00384678">
            <w:pPr>
              <w:rPr>
                <w:sz w:val="22"/>
                <w:szCs w:val="22"/>
              </w:rPr>
            </w:pPr>
            <w:r w:rsidRPr="000C0001">
              <w:rPr>
                <w:sz w:val="22"/>
                <w:szCs w:val="22"/>
              </w:rPr>
              <w:t>Self – 1.00</w:t>
            </w:r>
          </w:p>
          <w:p w14:paraId="5A398F37" w14:textId="77777777" w:rsidR="00C54984" w:rsidRPr="000C0001" w:rsidRDefault="00C54984" w:rsidP="00384678">
            <w:pPr>
              <w:rPr>
                <w:sz w:val="22"/>
                <w:szCs w:val="22"/>
              </w:rPr>
            </w:pPr>
            <w:r w:rsidRPr="000C0001">
              <w:rPr>
                <w:sz w:val="22"/>
                <w:szCs w:val="22"/>
              </w:rPr>
              <w:t>Self + Spouse – 2.00</w:t>
            </w:r>
          </w:p>
          <w:p w14:paraId="6D3824F8" w14:textId="77777777" w:rsidR="00C54984" w:rsidRPr="000C0001" w:rsidRDefault="00C54984" w:rsidP="00384678">
            <w:pPr>
              <w:rPr>
                <w:sz w:val="22"/>
                <w:szCs w:val="22"/>
              </w:rPr>
            </w:pPr>
            <w:r w:rsidRPr="000C0001">
              <w:rPr>
                <w:sz w:val="22"/>
                <w:szCs w:val="22"/>
              </w:rPr>
              <w:t>Self + Child(ren) – 1.71</w:t>
            </w:r>
          </w:p>
          <w:p w14:paraId="1DEF2A4B" w14:textId="77777777" w:rsidR="00C54984" w:rsidRPr="000C0001" w:rsidRDefault="00C54984" w:rsidP="00384678">
            <w:pPr>
              <w:rPr>
                <w:sz w:val="22"/>
                <w:szCs w:val="22"/>
              </w:rPr>
            </w:pPr>
            <w:r w:rsidRPr="000C0001">
              <w:rPr>
                <w:sz w:val="22"/>
                <w:szCs w:val="22"/>
              </w:rPr>
              <w:t>Full Family – 2.82</w:t>
            </w:r>
          </w:p>
        </w:tc>
        <w:tc>
          <w:tcPr>
            <w:tcW w:w="2641" w:type="dxa"/>
          </w:tcPr>
          <w:p w14:paraId="7B363DCF" w14:textId="77777777" w:rsidR="00C54984" w:rsidRPr="000C0001" w:rsidRDefault="00C54984" w:rsidP="00384678">
            <w:pPr>
              <w:rPr>
                <w:sz w:val="22"/>
                <w:szCs w:val="22"/>
              </w:rPr>
            </w:pPr>
            <w:r w:rsidRPr="000C0001">
              <w:rPr>
                <w:sz w:val="22"/>
                <w:szCs w:val="22"/>
              </w:rPr>
              <w:t>Self – 1.00</w:t>
            </w:r>
          </w:p>
          <w:p w14:paraId="6AEE21BD" w14:textId="77777777" w:rsidR="00C54984" w:rsidRPr="000C0001" w:rsidRDefault="00C54984" w:rsidP="00384678">
            <w:pPr>
              <w:rPr>
                <w:sz w:val="22"/>
                <w:szCs w:val="22"/>
              </w:rPr>
            </w:pPr>
            <w:r w:rsidRPr="000C0001">
              <w:rPr>
                <w:sz w:val="22"/>
                <w:szCs w:val="22"/>
              </w:rPr>
              <w:t>Self + Spouse – 2.04</w:t>
            </w:r>
          </w:p>
          <w:p w14:paraId="4C912D18" w14:textId="77777777" w:rsidR="00C54984" w:rsidRPr="000C0001" w:rsidRDefault="00C54984" w:rsidP="00384678">
            <w:pPr>
              <w:rPr>
                <w:sz w:val="22"/>
                <w:szCs w:val="22"/>
              </w:rPr>
            </w:pPr>
            <w:r w:rsidRPr="000C0001">
              <w:rPr>
                <w:sz w:val="22"/>
                <w:szCs w:val="22"/>
              </w:rPr>
              <w:t>Self + Child(ren) – 1.81</w:t>
            </w:r>
          </w:p>
          <w:p w14:paraId="787BDF09" w14:textId="77777777" w:rsidR="00C54984" w:rsidRPr="000C0001" w:rsidRDefault="00C54984" w:rsidP="00384678">
            <w:pPr>
              <w:rPr>
                <w:sz w:val="22"/>
                <w:szCs w:val="22"/>
              </w:rPr>
            </w:pPr>
            <w:r w:rsidRPr="000C0001">
              <w:rPr>
                <w:sz w:val="22"/>
                <w:szCs w:val="22"/>
              </w:rPr>
              <w:t>Full Family – 2.96</w:t>
            </w:r>
          </w:p>
        </w:tc>
        <w:tc>
          <w:tcPr>
            <w:tcW w:w="2511" w:type="dxa"/>
          </w:tcPr>
          <w:p w14:paraId="43285CFF" w14:textId="77777777" w:rsidR="00C54984" w:rsidRPr="000C0001" w:rsidRDefault="00C54984" w:rsidP="00384678">
            <w:pPr>
              <w:rPr>
                <w:sz w:val="22"/>
                <w:szCs w:val="22"/>
              </w:rPr>
            </w:pPr>
            <w:r w:rsidRPr="000C0001">
              <w:rPr>
                <w:sz w:val="22"/>
                <w:szCs w:val="22"/>
              </w:rPr>
              <w:t>To transition cost of dependent coverage to actuarial factor values</w:t>
            </w:r>
          </w:p>
        </w:tc>
      </w:tr>
    </w:tbl>
    <w:p w14:paraId="6E30AE4B" w14:textId="77777777" w:rsidR="006C2837" w:rsidRDefault="006C2837" w:rsidP="006C2837">
      <w:pPr>
        <w:pStyle w:val="ListParagraph"/>
        <w:numPr>
          <w:ilvl w:val="3"/>
          <w:numId w:val="1"/>
        </w:numPr>
        <w:outlineLvl w:val="1"/>
        <w:rPr>
          <w:bCs/>
          <w:noProof/>
          <w:sz w:val="24"/>
          <w:szCs w:val="24"/>
        </w:rPr>
      </w:pPr>
      <w:bookmarkStart w:id="22" w:name="_Toc3878087"/>
      <w:r w:rsidRPr="00880E79">
        <w:rPr>
          <w:bCs/>
          <w:noProof/>
          <w:sz w:val="24"/>
          <w:szCs w:val="24"/>
        </w:rPr>
        <w:lastRenderedPageBreak/>
        <w:t>RETIREMENT, DISABILITY, AND DEATH BENEFIT PLAN ACTUARIAL REPORT</w:t>
      </w:r>
      <w:bookmarkEnd w:id="22"/>
      <w:r>
        <w:rPr>
          <w:bCs/>
          <w:noProof/>
          <w:sz w:val="24"/>
          <w:szCs w:val="24"/>
        </w:rPr>
        <w:t xml:space="preserve"> </w:t>
      </w:r>
    </w:p>
    <w:p w14:paraId="5C9B5939" w14:textId="77777777" w:rsidR="006C2837" w:rsidRDefault="006C2837" w:rsidP="006C2837">
      <w:pPr>
        <w:pStyle w:val="ListParagraph"/>
        <w:rPr>
          <w:bCs/>
          <w:noProof/>
          <w:sz w:val="24"/>
          <w:szCs w:val="24"/>
        </w:rPr>
      </w:pPr>
    </w:p>
    <w:p w14:paraId="4EBAC1CA" w14:textId="77777777" w:rsidR="006C2837" w:rsidRDefault="006C2837" w:rsidP="006C2837">
      <w:pPr>
        <w:pStyle w:val="ListParagraph"/>
        <w:rPr>
          <w:bCs/>
          <w:noProof/>
          <w:sz w:val="24"/>
          <w:szCs w:val="24"/>
        </w:rPr>
      </w:pPr>
    </w:p>
    <w:p w14:paraId="6DA9334E" w14:textId="77777777" w:rsidR="006C2837" w:rsidRDefault="006C2837" w:rsidP="006C2837">
      <w:pPr>
        <w:pStyle w:val="ListParagraph"/>
        <w:rPr>
          <w:bCs/>
          <w:noProof/>
          <w:sz w:val="24"/>
          <w:szCs w:val="24"/>
        </w:rPr>
      </w:pPr>
    </w:p>
    <w:p w14:paraId="0F2217C6" w14:textId="77777777" w:rsidR="006C2837" w:rsidRDefault="006C2837" w:rsidP="006C2837">
      <w:pPr>
        <w:pStyle w:val="ListParagraph"/>
        <w:rPr>
          <w:bCs/>
          <w:noProof/>
          <w:sz w:val="24"/>
          <w:szCs w:val="24"/>
        </w:rPr>
      </w:pPr>
    </w:p>
    <w:p w14:paraId="29F6B1B7" w14:textId="77777777" w:rsidR="006C2837" w:rsidRDefault="006C2837" w:rsidP="006C2837">
      <w:pPr>
        <w:pStyle w:val="ListParagraph"/>
        <w:rPr>
          <w:bCs/>
          <w:noProof/>
          <w:sz w:val="24"/>
          <w:szCs w:val="24"/>
        </w:rPr>
      </w:pPr>
    </w:p>
    <w:p w14:paraId="780C8874" w14:textId="77777777" w:rsidR="006C2837" w:rsidRDefault="006C2837" w:rsidP="006C2837">
      <w:pPr>
        <w:pStyle w:val="ListParagraph"/>
        <w:rPr>
          <w:bCs/>
          <w:noProof/>
          <w:sz w:val="24"/>
          <w:szCs w:val="24"/>
        </w:rPr>
      </w:pPr>
    </w:p>
    <w:p w14:paraId="13DBB537" w14:textId="77777777" w:rsidR="006C2837" w:rsidRDefault="006C2837" w:rsidP="006C2837">
      <w:pPr>
        <w:pStyle w:val="ListParagraph"/>
        <w:rPr>
          <w:bCs/>
          <w:noProof/>
          <w:sz w:val="24"/>
          <w:szCs w:val="24"/>
        </w:rPr>
      </w:pPr>
    </w:p>
    <w:p w14:paraId="6EC3C82F" w14:textId="77777777" w:rsidR="006C2837" w:rsidRPr="007D08D8" w:rsidRDefault="006C2837" w:rsidP="006C2837">
      <w:pPr>
        <w:pStyle w:val="ListParagraph"/>
        <w:jc w:val="center"/>
        <w:rPr>
          <w:bCs/>
          <w:noProof/>
          <w:sz w:val="24"/>
          <w:szCs w:val="24"/>
        </w:rPr>
      </w:pPr>
      <w:r>
        <w:rPr>
          <w:bCs/>
          <w:noProof/>
          <w:sz w:val="24"/>
          <w:szCs w:val="24"/>
        </w:rPr>
        <w:t>(see attachment)</w:t>
      </w:r>
    </w:p>
    <w:p w14:paraId="0F0C8400" w14:textId="77777777" w:rsidR="006C2837" w:rsidRPr="007D08D8" w:rsidRDefault="006C2837" w:rsidP="007D08D8">
      <w:pPr>
        <w:pStyle w:val="ListParagraph"/>
        <w:jc w:val="center"/>
        <w:rPr>
          <w:bCs/>
          <w:noProof/>
          <w:sz w:val="24"/>
          <w:szCs w:val="24"/>
        </w:rPr>
      </w:pPr>
    </w:p>
    <w:sectPr w:rsidR="006C2837" w:rsidRPr="007D08D8" w:rsidSect="0082723F">
      <w:footerReference w:type="default" r:id="rId23"/>
      <w:pgSz w:w="12240" w:h="15840"/>
      <w:pgMar w:top="1440" w:right="216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25842" w14:textId="77777777" w:rsidR="0029759D" w:rsidRDefault="0029759D" w:rsidP="00B022FC">
      <w:pPr>
        <w:spacing w:after="0" w:line="240" w:lineRule="auto"/>
      </w:pPr>
      <w:r>
        <w:separator/>
      </w:r>
    </w:p>
  </w:endnote>
  <w:endnote w:type="continuationSeparator" w:id="0">
    <w:p w14:paraId="502B876D" w14:textId="77777777" w:rsidR="0029759D" w:rsidRDefault="0029759D" w:rsidP="00B0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1FAAB" w14:textId="17523A1F" w:rsidR="0090445A" w:rsidRDefault="0082723F" w:rsidP="009F357F">
    <w:pPr>
      <w:pStyle w:val="Footer"/>
      <w:ind w:left="3600"/>
    </w:pPr>
    <w:r w:rsidRPr="0082723F">
      <w:rPr>
        <w:rFonts w:ascii="Times New Roman" w:hAnsi="Times New Roman" w:cs="Times New Roman"/>
        <w:sz w:val="24"/>
        <w:szCs w:val="24"/>
      </w:rPr>
      <w:t xml:space="preserve">OPEN– C&amp;HR – </w:t>
    </w:r>
    <w:r w:rsidR="00726EF3">
      <w:rPr>
        <w:rFonts w:ascii="Times New Roman" w:hAnsi="Times New Roman" w:cs="Times New Roman"/>
        <w:sz w:val="24"/>
        <w:szCs w:val="24"/>
      </w:rPr>
      <w:t>INFO -</w:t>
    </w:r>
    <w:r w:rsidRPr="0082723F">
      <w:rPr>
        <w:rFonts w:ascii="Times New Roman" w:hAnsi="Times New Roman" w:cs="Times New Roman"/>
        <w:sz w:val="24"/>
        <w:szCs w:val="24"/>
      </w:rPr>
      <w:t>1-</w:t>
    </w:r>
    <w:r w:rsidRPr="0082723F">
      <w:rPr>
        <w:rFonts w:ascii="Times New Roman" w:hAnsi="Times New Roman" w:cs="Times New Roman"/>
        <w:sz w:val="24"/>
        <w:szCs w:val="24"/>
      </w:rPr>
      <w:fldChar w:fldCharType="begin"/>
    </w:r>
    <w:r w:rsidRPr="0082723F">
      <w:rPr>
        <w:rFonts w:ascii="Times New Roman" w:hAnsi="Times New Roman" w:cs="Times New Roman"/>
        <w:sz w:val="24"/>
        <w:szCs w:val="24"/>
      </w:rPr>
      <w:instrText xml:space="preserve"> PAGE   \* MERGEFORMAT </w:instrText>
    </w:r>
    <w:r w:rsidRPr="0082723F">
      <w:rPr>
        <w:rFonts w:ascii="Times New Roman" w:hAnsi="Times New Roman" w:cs="Times New Roman"/>
        <w:sz w:val="24"/>
        <w:szCs w:val="24"/>
      </w:rPr>
      <w:fldChar w:fldCharType="separate"/>
    </w:r>
    <w:r w:rsidR="00451984">
      <w:rPr>
        <w:rFonts w:ascii="Times New Roman" w:hAnsi="Times New Roman" w:cs="Times New Roman"/>
        <w:noProof/>
        <w:sz w:val="24"/>
        <w:szCs w:val="24"/>
      </w:rPr>
      <w:t>1</w:t>
    </w:r>
    <w:r w:rsidRPr="0082723F">
      <w:rPr>
        <w:rFonts w:ascii="Times New Roman" w:hAnsi="Times New Roman" w:cs="Times New Roman"/>
        <w:noProof/>
        <w:sz w:val="24"/>
        <w:szCs w:val="24"/>
      </w:rPr>
      <w:fldChar w:fldCharType="end"/>
    </w:r>
    <w:r>
      <w:ptab w:relativeTo="margin" w:alignment="right" w:leader="none"/>
    </w:r>
    <w:r w:rsidRPr="0082723F">
      <w:rPr>
        <w:rFonts w:ascii="Times New Roman" w:hAnsi="Times New Roman" w:cs="Times New Roman"/>
        <w:sz w:val="20"/>
        <w:szCs w:val="20"/>
      </w:rPr>
      <w:t>April 11, 2019</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35D4" w14:textId="77777777" w:rsidR="0029759D" w:rsidRDefault="0029759D" w:rsidP="00B022FC">
      <w:pPr>
        <w:spacing w:after="0" w:line="240" w:lineRule="auto"/>
      </w:pPr>
      <w:r>
        <w:separator/>
      </w:r>
    </w:p>
  </w:footnote>
  <w:footnote w:type="continuationSeparator" w:id="0">
    <w:p w14:paraId="7CB48E6E" w14:textId="77777777" w:rsidR="0029759D" w:rsidRDefault="0029759D" w:rsidP="00B02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7FE"/>
    <w:multiLevelType w:val="hybridMultilevel"/>
    <w:tmpl w:val="8C60C8FE"/>
    <w:lvl w:ilvl="0" w:tplc="04090001">
      <w:start w:val="1"/>
      <w:numFmt w:val="bullet"/>
      <w:lvlText w:val=""/>
      <w:lvlJc w:val="left"/>
      <w:pPr>
        <w:ind w:left="1086" w:hanging="360"/>
      </w:pPr>
      <w:rPr>
        <w:rFonts w:ascii="Symbol" w:hAnsi="Symbol"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 w15:restartNumberingAfterBreak="0">
    <w:nsid w:val="07A460CD"/>
    <w:multiLevelType w:val="hybridMultilevel"/>
    <w:tmpl w:val="C07E3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752F"/>
    <w:multiLevelType w:val="hybridMultilevel"/>
    <w:tmpl w:val="87AC3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B3F86"/>
    <w:multiLevelType w:val="hybridMultilevel"/>
    <w:tmpl w:val="437AF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974"/>
    <w:multiLevelType w:val="hybridMultilevel"/>
    <w:tmpl w:val="1996D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133B5"/>
    <w:multiLevelType w:val="hybridMultilevel"/>
    <w:tmpl w:val="2214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4C00"/>
    <w:multiLevelType w:val="hybridMultilevel"/>
    <w:tmpl w:val="DCE6F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21A1C"/>
    <w:multiLevelType w:val="hybridMultilevel"/>
    <w:tmpl w:val="2DDCD2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808197A"/>
    <w:multiLevelType w:val="hybridMultilevel"/>
    <w:tmpl w:val="FBC67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C6F61"/>
    <w:multiLevelType w:val="hybridMultilevel"/>
    <w:tmpl w:val="01FA40AC"/>
    <w:lvl w:ilvl="0" w:tplc="6422C2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D31184A"/>
    <w:multiLevelType w:val="hybridMultilevel"/>
    <w:tmpl w:val="E73EBC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022705"/>
    <w:multiLevelType w:val="hybridMultilevel"/>
    <w:tmpl w:val="9B02139A"/>
    <w:lvl w:ilvl="0" w:tplc="2C1CB02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2403679"/>
    <w:multiLevelType w:val="hybridMultilevel"/>
    <w:tmpl w:val="D01C725C"/>
    <w:lvl w:ilvl="0" w:tplc="7A0801B8">
      <w:start w:val="1"/>
      <w:numFmt w:val="upperRoman"/>
      <w:lvlText w:val="%1."/>
      <w:lvlJc w:val="left"/>
      <w:pPr>
        <w:ind w:left="720" w:hanging="720"/>
      </w:pPr>
      <w:rPr>
        <w:rFonts w:asciiTheme="minorHAnsi" w:eastAsiaTheme="minorHAnsi" w:hAnsiTheme="minorHAnsi" w:cstheme="minorBidi"/>
        <w:b/>
        <w:sz w:val="28"/>
        <w:szCs w:val="28"/>
      </w:rPr>
    </w:lvl>
    <w:lvl w:ilvl="1" w:tplc="516E6404">
      <w:start w:val="1"/>
      <w:numFmt w:val="lowerLetter"/>
      <w:lvlText w:val="%2."/>
      <w:lvlJc w:val="left"/>
      <w:pPr>
        <w:ind w:left="720" w:hanging="648"/>
      </w:pPr>
      <w:rPr>
        <w:rFonts w:hint="default"/>
        <w:b w:val="0"/>
        <w:sz w:val="24"/>
        <w:szCs w:val="24"/>
      </w:rPr>
    </w:lvl>
    <w:lvl w:ilvl="2" w:tplc="87F66D7C">
      <w:start w:val="1"/>
      <w:numFmt w:val="decimal"/>
      <w:lvlText w:val="%3."/>
      <w:lvlJc w:val="left"/>
      <w:pPr>
        <w:ind w:left="90" w:hanging="180"/>
      </w:pPr>
      <w:rPr>
        <w:b w:val="0"/>
        <w:sz w:val="24"/>
      </w:rPr>
    </w:lvl>
    <w:lvl w:ilvl="3" w:tplc="BD1A0FA4">
      <w:start w:val="1"/>
      <w:numFmt w:val="upperLetter"/>
      <w:lvlText w:val="%4."/>
      <w:lvlJc w:val="left"/>
      <w:pPr>
        <w:ind w:left="720" w:hanging="720"/>
      </w:pPr>
      <w:rPr>
        <w:rFonts w:hint="default"/>
        <w:b w:val="0"/>
      </w:r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3" w15:restartNumberingAfterBreak="0">
    <w:nsid w:val="260140EB"/>
    <w:multiLevelType w:val="hybridMultilevel"/>
    <w:tmpl w:val="4DB80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40A74"/>
    <w:multiLevelType w:val="hybridMultilevel"/>
    <w:tmpl w:val="792E5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85DEF"/>
    <w:multiLevelType w:val="hybridMultilevel"/>
    <w:tmpl w:val="565C60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C14B23"/>
    <w:multiLevelType w:val="hybridMultilevel"/>
    <w:tmpl w:val="9560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D63C19"/>
    <w:multiLevelType w:val="hybridMultilevel"/>
    <w:tmpl w:val="35C4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C0359"/>
    <w:multiLevelType w:val="hybridMultilevel"/>
    <w:tmpl w:val="37E0D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D4D4DBD"/>
    <w:multiLevelType w:val="hybridMultilevel"/>
    <w:tmpl w:val="59128046"/>
    <w:lvl w:ilvl="0" w:tplc="641AD97E">
      <w:start w:val="1"/>
      <w:numFmt w:val="decimal"/>
      <w:lvlText w:val="%1."/>
      <w:lvlJc w:val="left"/>
      <w:pPr>
        <w:ind w:left="890" w:hanging="450"/>
      </w:pPr>
      <w:rPr>
        <w:rFonts w:hint="default"/>
        <w:color w:val="auto"/>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0" w15:restartNumberingAfterBreak="0">
    <w:nsid w:val="52E56AAD"/>
    <w:multiLevelType w:val="hybridMultilevel"/>
    <w:tmpl w:val="71BC9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A516D"/>
    <w:multiLevelType w:val="hybridMultilevel"/>
    <w:tmpl w:val="F446D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3C576C"/>
    <w:multiLevelType w:val="hybridMultilevel"/>
    <w:tmpl w:val="2FE013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6741EC"/>
    <w:multiLevelType w:val="hybridMultilevel"/>
    <w:tmpl w:val="799E21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707E91"/>
    <w:multiLevelType w:val="hybridMultilevel"/>
    <w:tmpl w:val="6444F4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E168FD"/>
    <w:multiLevelType w:val="hybridMultilevel"/>
    <w:tmpl w:val="3BBC1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02A6D43"/>
    <w:multiLevelType w:val="hybridMultilevel"/>
    <w:tmpl w:val="34F27D5C"/>
    <w:lvl w:ilvl="0" w:tplc="04090015">
      <w:start w:val="1"/>
      <w:numFmt w:val="upperLetter"/>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E2E105E">
      <w:start w:val="1"/>
      <w:numFmt w:val="decimal"/>
      <w:lvlText w:val="%4."/>
      <w:lvlJc w:val="left"/>
      <w:pPr>
        <w:ind w:left="14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4031E45"/>
    <w:multiLevelType w:val="hybridMultilevel"/>
    <w:tmpl w:val="D744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B322A"/>
    <w:multiLevelType w:val="hybridMultilevel"/>
    <w:tmpl w:val="1A36E5F0"/>
    <w:lvl w:ilvl="0" w:tplc="5AD4DD02">
      <w:start w:val="1"/>
      <w:numFmt w:val="decimal"/>
      <w:lvlText w:val="%1."/>
      <w:lvlJc w:val="left"/>
      <w:pPr>
        <w:ind w:left="720" w:hanging="63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15:restartNumberingAfterBreak="0">
    <w:nsid w:val="6EE33A07"/>
    <w:multiLevelType w:val="multilevel"/>
    <w:tmpl w:val="AEB26722"/>
    <w:lvl w:ilvl="0">
      <w:start w:val="2018"/>
      <w:numFmt w:val="decimal"/>
      <w:lvlText w:val="%1"/>
      <w:lvlJc w:val="left"/>
      <w:pPr>
        <w:ind w:left="915" w:hanging="915"/>
      </w:pPr>
      <w:rPr>
        <w:rFonts w:hint="default"/>
        <w:color w:val="000000" w:themeColor="text1"/>
      </w:rPr>
    </w:lvl>
    <w:lvl w:ilvl="1">
      <w:start w:val="2019"/>
      <w:numFmt w:val="decimal"/>
      <w:lvlText w:val="%1-%2"/>
      <w:lvlJc w:val="left"/>
      <w:pPr>
        <w:ind w:left="915" w:hanging="915"/>
      </w:pPr>
      <w:rPr>
        <w:rFonts w:hint="default"/>
        <w:color w:val="000000" w:themeColor="text1"/>
      </w:rPr>
    </w:lvl>
    <w:lvl w:ilvl="2">
      <w:start w:val="1"/>
      <w:numFmt w:val="decimal"/>
      <w:lvlText w:val="%1-%2.%3"/>
      <w:lvlJc w:val="left"/>
      <w:pPr>
        <w:ind w:left="915" w:hanging="915"/>
      </w:pPr>
      <w:rPr>
        <w:rFonts w:hint="default"/>
        <w:color w:val="000000" w:themeColor="text1"/>
      </w:rPr>
    </w:lvl>
    <w:lvl w:ilvl="3">
      <w:start w:val="1"/>
      <w:numFmt w:val="decimal"/>
      <w:lvlText w:val="%1-%2.%3.%4"/>
      <w:lvlJc w:val="left"/>
      <w:pPr>
        <w:ind w:left="915" w:hanging="915"/>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0" w15:restartNumberingAfterBreak="0">
    <w:nsid w:val="78B80E37"/>
    <w:multiLevelType w:val="hybridMultilevel"/>
    <w:tmpl w:val="F3CA1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C3A1D"/>
    <w:multiLevelType w:val="hybridMultilevel"/>
    <w:tmpl w:val="6BE0C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B119F5"/>
    <w:multiLevelType w:val="hybridMultilevel"/>
    <w:tmpl w:val="1E7CE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697A71"/>
    <w:multiLevelType w:val="hybridMultilevel"/>
    <w:tmpl w:val="DDCA1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566B82"/>
    <w:multiLevelType w:val="hybridMultilevel"/>
    <w:tmpl w:val="7E5E7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6"/>
  </w:num>
  <w:num w:numId="4">
    <w:abstractNumId w:val="16"/>
  </w:num>
  <w:num w:numId="5">
    <w:abstractNumId w:val="12"/>
  </w:num>
  <w:num w:numId="6">
    <w:abstractNumId w:val="16"/>
  </w:num>
  <w:num w:numId="7">
    <w:abstractNumId w:val="26"/>
  </w:num>
  <w:num w:numId="8">
    <w:abstractNumId w:val="2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17"/>
  </w:num>
  <w:num w:numId="15">
    <w:abstractNumId w:val="4"/>
  </w:num>
  <w:num w:numId="16">
    <w:abstractNumId w:val="20"/>
  </w:num>
  <w:num w:numId="17">
    <w:abstractNumId w:val="5"/>
  </w:num>
  <w:num w:numId="18">
    <w:abstractNumId w:val="2"/>
  </w:num>
  <w:num w:numId="19">
    <w:abstractNumId w:val="3"/>
  </w:num>
  <w:num w:numId="20">
    <w:abstractNumId w:val="29"/>
  </w:num>
  <w:num w:numId="21">
    <w:abstractNumId w:val="31"/>
  </w:num>
  <w:num w:numId="22">
    <w:abstractNumId w:val="22"/>
  </w:num>
  <w:num w:numId="23">
    <w:abstractNumId w:val="15"/>
  </w:num>
  <w:num w:numId="24">
    <w:abstractNumId w:val="30"/>
  </w:num>
  <w:num w:numId="25">
    <w:abstractNumId w:val="32"/>
  </w:num>
  <w:num w:numId="26">
    <w:abstractNumId w:val="1"/>
  </w:num>
  <w:num w:numId="27">
    <w:abstractNumId w:val="6"/>
  </w:num>
  <w:num w:numId="28">
    <w:abstractNumId w:val="14"/>
  </w:num>
  <w:num w:numId="29">
    <w:abstractNumId w:val="8"/>
  </w:num>
  <w:num w:numId="30">
    <w:abstractNumId w:val="23"/>
  </w:num>
  <w:num w:numId="31">
    <w:abstractNumId w:val="1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3"/>
  </w:num>
  <w:num w:numId="35">
    <w:abstractNumId w:val="10"/>
  </w:num>
  <w:num w:numId="36">
    <w:abstractNumId w:val="24"/>
  </w:num>
  <w:num w:numId="37">
    <w:abstractNumId w:val="0"/>
  </w:num>
  <w:num w:numId="38">
    <w:abstractNumId w:val="3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FC"/>
    <w:rsid w:val="000001CA"/>
    <w:rsid w:val="000025A2"/>
    <w:rsid w:val="0000358C"/>
    <w:rsid w:val="00004D95"/>
    <w:rsid w:val="0002548B"/>
    <w:rsid w:val="000309E0"/>
    <w:rsid w:val="00032716"/>
    <w:rsid w:val="0005053C"/>
    <w:rsid w:val="000743A6"/>
    <w:rsid w:val="000B3D0E"/>
    <w:rsid w:val="000C0001"/>
    <w:rsid w:val="000C5904"/>
    <w:rsid w:val="000D0255"/>
    <w:rsid w:val="000D6E78"/>
    <w:rsid w:val="000E2850"/>
    <w:rsid w:val="0012095F"/>
    <w:rsid w:val="0016194E"/>
    <w:rsid w:val="00162A75"/>
    <w:rsid w:val="0017087B"/>
    <w:rsid w:val="001A126E"/>
    <w:rsid w:val="001A7AD7"/>
    <w:rsid w:val="001C4F90"/>
    <w:rsid w:val="001C7BC1"/>
    <w:rsid w:val="001D5782"/>
    <w:rsid w:val="001D6802"/>
    <w:rsid w:val="001E5309"/>
    <w:rsid w:val="001F48DD"/>
    <w:rsid w:val="00201ECD"/>
    <w:rsid w:val="0021503B"/>
    <w:rsid w:val="00223EB6"/>
    <w:rsid w:val="002565EC"/>
    <w:rsid w:val="0029759D"/>
    <w:rsid w:val="002D5051"/>
    <w:rsid w:val="002F00E2"/>
    <w:rsid w:val="00302329"/>
    <w:rsid w:val="00316000"/>
    <w:rsid w:val="00327972"/>
    <w:rsid w:val="0033006C"/>
    <w:rsid w:val="00357628"/>
    <w:rsid w:val="00360095"/>
    <w:rsid w:val="0036168F"/>
    <w:rsid w:val="003717A8"/>
    <w:rsid w:val="00373A80"/>
    <w:rsid w:val="00377300"/>
    <w:rsid w:val="00384678"/>
    <w:rsid w:val="00394506"/>
    <w:rsid w:val="003C27B5"/>
    <w:rsid w:val="003C4E8F"/>
    <w:rsid w:val="003D21AB"/>
    <w:rsid w:val="003D6F22"/>
    <w:rsid w:val="004020BC"/>
    <w:rsid w:val="00430333"/>
    <w:rsid w:val="0044132D"/>
    <w:rsid w:val="00441901"/>
    <w:rsid w:val="00442BA7"/>
    <w:rsid w:val="00443D77"/>
    <w:rsid w:val="00451984"/>
    <w:rsid w:val="00451EB1"/>
    <w:rsid w:val="0045316B"/>
    <w:rsid w:val="00494B92"/>
    <w:rsid w:val="00497AC9"/>
    <w:rsid w:val="004A244F"/>
    <w:rsid w:val="004B036C"/>
    <w:rsid w:val="004B5C27"/>
    <w:rsid w:val="004E0279"/>
    <w:rsid w:val="004E12C8"/>
    <w:rsid w:val="0050553D"/>
    <w:rsid w:val="00512F00"/>
    <w:rsid w:val="005142A3"/>
    <w:rsid w:val="005151F7"/>
    <w:rsid w:val="00515957"/>
    <w:rsid w:val="00535936"/>
    <w:rsid w:val="005A044C"/>
    <w:rsid w:val="005B25F6"/>
    <w:rsid w:val="005D149E"/>
    <w:rsid w:val="005F4B1C"/>
    <w:rsid w:val="00617E89"/>
    <w:rsid w:val="0063793D"/>
    <w:rsid w:val="00665278"/>
    <w:rsid w:val="00677531"/>
    <w:rsid w:val="00677663"/>
    <w:rsid w:val="006A301A"/>
    <w:rsid w:val="006B64B6"/>
    <w:rsid w:val="006C2837"/>
    <w:rsid w:val="006D4C88"/>
    <w:rsid w:val="006D6E79"/>
    <w:rsid w:val="006F0B8E"/>
    <w:rsid w:val="0071319A"/>
    <w:rsid w:val="00726EF3"/>
    <w:rsid w:val="0075616B"/>
    <w:rsid w:val="00756771"/>
    <w:rsid w:val="007574BC"/>
    <w:rsid w:val="007777DF"/>
    <w:rsid w:val="00777EFD"/>
    <w:rsid w:val="007C46C1"/>
    <w:rsid w:val="007D08D8"/>
    <w:rsid w:val="007D1E63"/>
    <w:rsid w:val="007F7D5E"/>
    <w:rsid w:val="00806A26"/>
    <w:rsid w:val="00820B88"/>
    <w:rsid w:val="0082723F"/>
    <w:rsid w:val="00837666"/>
    <w:rsid w:val="00865DC7"/>
    <w:rsid w:val="0087326D"/>
    <w:rsid w:val="00880E79"/>
    <w:rsid w:val="00890144"/>
    <w:rsid w:val="008A6C52"/>
    <w:rsid w:val="008B2D7D"/>
    <w:rsid w:val="008B53C8"/>
    <w:rsid w:val="008D28B6"/>
    <w:rsid w:val="0090384F"/>
    <w:rsid w:val="0090445A"/>
    <w:rsid w:val="00935212"/>
    <w:rsid w:val="00943A30"/>
    <w:rsid w:val="00974ACA"/>
    <w:rsid w:val="009847E5"/>
    <w:rsid w:val="009B24ED"/>
    <w:rsid w:val="009C1F7F"/>
    <w:rsid w:val="009C78FD"/>
    <w:rsid w:val="009F357F"/>
    <w:rsid w:val="00A07BFD"/>
    <w:rsid w:val="00A229A9"/>
    <w:rsid w:val="00A36311"/>
    <w:rsid w:val="00A77B35"/>
    <w:rsid w:val="00A81A3D"/>
    <w:rsid w:val="00A8253D"/>
    <w:rsid w:val="00A85320"/>
    <w:rsid w:val="00A860A0"/>
    <w:rsid w:val="00A87DEC"/>
    <w:rsid w:val="00A90496"/>
    <w:rsid w:val="00A95FB1"/>
    <w:rsid w:val="00AC65A6"/>
    <w:rsid w:val="00AE0E2F"/>
    <w:rsid w:val="00AE7CF5"/>
    <w:rsid w:val="00AF0C11"/>
    <w:rsid w:val="00AF33B4"/>
    <w:rsid w:val="00B022FC"/>
    <w:rsid w:val="00B2105C"/>
    <w:rsid w:val="00B2366B"/>
    <w:rsid w:val="00B25A0B"/>
    <w:rsid w:val="00B61371"/>
    <w:rsid w:val="00B76DEA"/>
    <w:rsid w:val="00B909A5"/>
    <w:rsid w:val="00BB33F1"/>
    <w:rsid w:val="00BE0475"/>
    <w:rsid w:val="00BE39D5"/>
    <w:rsid w:val="00BE583A"/>
    <w:rsid w:val="00BF35E7"/>
    <w:rsid w:val="00BF5872"/>
    <w:rsid w:val="00C340D6"/>
    <w:rsid w:val="00C40EE4"/>
    <w:rsid w:val="00C41541"/>
    <w:rsid w:val="00C430D5"/>
    <w:rsid w:val="00C54984"/>
    <w:rsid w:val="00C6159D"/>
    <w:rsid w:val="00C70325"/>
    <w:rsid w:val="00C90B1E"/>
    <w:rsid w:val="00CA673F"/>
    <w:rsid w:val="00CB6142"/>
    <w:rsid w:val="00CD1418"/>
    <w:rsid w:val="00CD5E44"/>
    <w:rsid w:val="00CF658A"/>
    <w:rsid w:val="00D05E1A"/>
    <w:rsid w:val="00D10F9C"/>
    <w:rsid w:val="00D325D5"/>
    <w:rsid w:val="00D65E68"/>
    <w:rsid w:val="00D66FD6"/>
    <w:rsid w:val="00D754F6"/>
    <w:rsid w:val="00D75B34"/>
    <w:rsid w:val="00D80CC9"/>
    <w:rsid w:val="00D92ADB"/>
    <w:rsid w:val="00DA4039"/>
    <w:rsid w:val="00DB3941"/>
    <w:rsid w:val="00DB3EA2"/>
    <w:rsid w:val="00DB61B0"/>
    <w:rsid w:val="00DB66B4"/>
    <w:rsid w:val="00DB71BE"/>
    <w:rsid w:val="00DF3FC5"/>
    <w:rsid w:val="00E13C82"/>
    <w:rsid w:val="00E15347"/>
    <w:rsid w:val="00E3319E"/>
    <w:rsid w:val="00E444D6"/>
    <w:rsid w:val="00E95D35"/>
    <w:rsid w:val="00E974DE"/>
    <w:rsid w:val="00EA29B9"/>
    <w:rsid w:val="00EA6CDE"/>
    <w:rsid w:val="00EB7FEB"/>
    <w:rsid w:val="00ED377D"/>
    <w:rsid w:val="00ED4DBA"/>
    <w:rsid w:val="00EE3845"/>
    <w:rsid w:val="00EF5C78"/>
    <w:rsid w:val="00EF6402"/>
    <w:rsid w:val="00F06BA1"/>
    <w:rsid w:val="00F306CF"/>
    <w:rsid w:val="00F433C1"/>
    <w:rsid w:val="00F557A9"/>
    <w:rsid w:val="00F60E92"/>
    <w:rsid w:val="00F72773"/>
    <w:rsid w:val="00F96C3A"/>
    <w:rsid w:val="00F97F25"/>
    <w:rsid w:val="00FB5179"/>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E374A"/>
  <w15:chartTrackingRefBased/>
  <w15:docId w15:val="{059B1E9B-F02C-4DB6-B904-3B69777E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2FC"/>
    <w:pPr>
      <w:spacing w:line="256" w:lineRule="auto"/>
    </w:pPr>
  </w:style>
  <w:style w:type="paragraph" w:styleId="Heading1">
    <w:name w:val="heading 1"/>
    <w:basedOn w:val="Normal"/>
    <w:next w:val="Normal"/>
    <w:link w:val="Heading1Char"/>
    <w:uiPriority w:val="9"/>
    <w:qFormat/>
    <w:rsid w:val="00B022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38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02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2FC"/>
    <w:rPr>
      <w:color w:val="0563C1" w:themeColor="hyperlink"/>
      <w:u w:val="single"/>
    </w:rPr>
  </w:style>
  <w:style w:type="paragraph" w:styleId="TOC1">
    <w:name w:val="toc 1"/>
    <w:basedOn w:val="Normal"/>
    <w:next w:val="Normal"/>
    <w:autoRedefine/>
    <w:uiPriority w:val="39"/>
    <w:unhideWhenUsed/>
    <w:rsid w:val="006D6E79"/>
    <w:pPr>
      <w:tabs>
        <w:tab w:val="left" w:pos="720"/>
        <w:tab w:val="right" w:leader="dot" w:pos="9350"/>
      </w:tabs>
      <w:spacing w:after="100"/>
    </w:pPr>
  </w:style>
  <w:style w:type="paragraph" w:styleId="TOC2">
    <w:name w:val="toc 2"/>
    <w:basedOn w:val="Normal"/>
    <w:next w:val="Normal"/>
    <w:autoRedefine/>
    <w:uiPriority w:val="39"/>
    <w:unhideWhenUsed/>
    <w:rsid w:val="006D6E79"/>
    <w:pPr>
      <w:tabs>
        <w:tab w:val="left" w:pos="720"/>
        <w:tab w:val="right" w:leader="dot" w:pos="9350"/>
      </w:tabs>
      <w:spacing w:after="100"/>
      <w:ind w:left="720" w:hanging="360"/>
    </w:pPr>
  </w:style>
  <w:style w:type="paragraph" w:styleId="TOC3">
    <w:name w:val="toc 3"/>
    <w:basedOn w:val="Normal"/>
    <w:next w:val="Normal"/>
    <w:autoRedefine/>
    <w:uiPriority w:val="39"/>
    <w:unhideWhenUsed/>
    <w:rsid w:val="00B022FC"/>
    <w:pPr>
      <w:spacing w:after="100"/>
      <w:ind w:left="440"/>
    </w:pPr>
  </w:style>
  <w:style w:type="character" w:customStyle="1" w:styleId="Heading1Char">
    <w:name w:val="Heading 1 Char"/>
    <w:basedOn w:val="DefaultParagraphFont"/>
    <w:link w:val="Heading1"/>
    <w:uiPriority w:val="9"/>
    <w:rsid w:val="00B022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022FC"/>
    <w:pPr>
      <w:outlineLvl w:val="9"/>
    </w:pPr>
  </w:style>
  <w:style w:type="paragraph" w:styleId="ListParagraph">
    <w:name w:val="List Paragraph"/>
    <w:basedOn w:val="Normal"/>
    <w:uiPriority w:val="34"/>
    <w:qFormat/>
    <w:rsid w:val="00B022FC"/>
    <w:pPr>
      <w:ind w:left="720"/>
      <w:contextualSpacing/>
    </w:pPr>
  </w:style>
  <w:style w:type="paragraph" w:styleId="Header">
    <w:name w:val="header"/>
    <w:basedOn w:val="Normal"/>
    <w:link w:val="HeaderChar"/>
    <w:uiPriority w:val="99"/>
    <w:unhideWhenUsed/>
    <w:rsid w:val="00B02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2FC"/>
  </w:style>
  <w:style w:type="paragraph" w:styleId="Footer">
    <w:name w:val="footer"/>
    <w:basedOn w:val="Normal"/>
    <w:link w:val="FooterChar"/>
    <w:uiPriority w:val="99"/>
    <w:unhideWhenUsed/>
    <w:rsid w:val="00B02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2FC"/>
  </w:style>
  <w:style w:type="character" w:customStyle="1" w:styleId="Heading3Char">
    <w:name w:val="Heading 3 Char"/>
    <w:basedOn w:val="DefaultParagraphFont"/>
    <w:link w:val="Heading3"/>
    <w:uiPriority w:val="9"/>
    <w:semiHidden/>
    <w:rsid w:val="00B022FC"/>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90384F"/>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sid w:val="0090384F"/>
    <w:pPr>
      <w:spacing w:line="240" w:lineRule="auto"/>
    </w:pPr>
    <w:rPr>
      <w:sz w:val="20"/>
      <w:szCs w:val="20"/>
    </w:rPr>
  </w:style>
  <w:style w:type="character" w:customStyle="1" w:styleId="CommentTextChar">
    <w:name w:val="Comment Text Char"/>
    <w:basedOn w:val="DefaultParagraphFont"/>
    <w:link w:val="CommentText"/>
    <w:uiPriority w:val="99"/>
    <w:semiHidden/>
    <w:rsid w:val="0090384F"/>
    <w:rPr>
      <w:sz w:val="20"/>
      <w:szCs w:val="20"/>
    </w:rPr>
  </w:style>
  <w:style w:type="character" w:styleId="CommentReference">
    <w:name w:val="annotation reference"/>
    <w:basedOn w:val="DefaultParagraphFont"/>
    <w:uiPriority w:val="99"/>
    <w:semiHidden/>
    <w:unhideWhenUsed/>
    <w:rsid w:val="0090384F"/>
    <w:rPr>
      <w:sz w:val="16"/>
      <w:szCs w:val="16"/>
    </w:rPr>
  </w:style>
  <w:style w:type="paragraph" w:styleId="BalloonText">
    <w:name w:val="Balloon Text"/>
    <w:basedOn w:val="Normal"/>
    <w:link w:val="BalloonTextChar"/>
    <w:uiPriority w:val="99"/>
    <w:semiHidden/>
    <w:unhideWhenUsed/>
    <w:rsid w:val="00903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4F"/>
    <w:rPr>
      <w:rFonts w:ascii="Segoe UI" w:hAnsi="Segoe UI" w:cs="Segoe UI"/>
      <w:sz w:val="18"/>
      <w:szCs w:val="18"/>
    </w:rPr>
  </w:style>
  <w:style w:type="paragraph" w:customStyle="1" w:styleId="Default">
    <w:name w:val="Default"/>
    <w:basedOn w:val="Normal"/>
    <w:rsid w:val="00EF5C78"/>
    <w:pPr>
      <w:autoSpaceDE w:val="0"/>
      <w:autoSpaceDN w:val="0"/>
      <w:spacing w:after="0" w:line="240" w:lineRule="auto"/>
    </w:pPr>
    <w:rPr>
      <w:rFonts w:ascii="Garamond" w:hAnsi="Garamond" w:cs="Times New Roman"/>
      <w:color w:val="000000"/>
      <w:sz w:val="24"/>
      <w:szCs w:val="24"/>
    </w:rPr>
  </w:style>
  <w:style w:type="table" w:styleId="TableGrid">
    <w:name w:val="Table Grid"/>
    <w:basedOn w:val="TableNormal"/>
    <w:uiPriority w:val="39"/>
    <w:rsid w:val="00EF5C78"/>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F5C78"/>
    <w:rPr>
      <w:b/>
      <w:bCs/>
    </w:rPr>
  </w:style>
  <w:style w:type="character" w:customStyle="1" w:styleId="CommentSubjectChar">
    <w:name w:val="Comment Subject Char"/>
    <w:basedOn w:val="CommentTextChar"/>
    <w:link w:val="CommentSubject"/>
    <w:uiPriority w:val="99"/>
    <w:semiHidden/>
    <w:rsid w:val="00EF5C78"/>
    <w:rPr>
      <w:b/>
      <w:bCs/>
      <w:sz w:val="20"/>
      <w:szCs w:val="20"/>
    </w:rPr>
  </w:style>
  <w:style w:type="paragraph" w:styleId="Revision">
    <w:name w:val="Revision"/>
    <w:hidden/>
    <w:uiPriority w:val="99"/>
    <w:semiHidden/>
    <w:rsid w:val="0021503B"/>
    <w:pPr>
      <w:spacing w:after="0" w:line="240" w:lineRule="auto"/>
    </w:pPr>
  </w:style>
  <w:style w:type="character" w:customStyle="1" w:styleId="s1">
    <w:name w:val="s1"/>
    <w:rsid w:val="0012095F"/>
  </w:style>
  <w:style w:type="paragraph" w:customStyle="1" w:styleId="p1">
    <w:name w:val="p1"/>
    <w:basedOn w:val="Normal"/>
    <w:rsid w:val="006C2837"/>
    <w:pPr>
      <w:shd w:val="clear" w:color="auto" w:fill="FFFFFF"/>
      <w:spacing w:after="0" w:line="240" w:lineRule="auto"/>
    </w:pPr>
    <w:rPr>
      <w:rFonts w:ascii="Georgia" w:eastAsia="Times New Roman" w:hAnsi="Georgia" w:cs="Times New Roman"/>
      <w:color w:val="4444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4393">
      <w:bodyDiv w:val="1"/>
      <w:marLeft w:val="0"/>
      <w:marRight w:val="0"/>
      <w:marTop w:val="0"/>
      <w:marBottom w:val="0"/>
      <w:divBdr>
        <w:top w:val="none" w:sz="0" w:space="0" w:color="auto"/>
        <w:left w:val="none" w:sz="0" w:space="0" w:color="auto"/>
        <w:bottom w:val="none" w:sz="0" w:space="0" w:color="auto"/>
        <w:right w:val="none" w:sz="0" w:space="0" w:color="auto"/>
      </w:divBdr>
    </w:div>
    <w:div w:id="215430968">
      <w:bodyDiv w:val="1"/>
      <w:marLeft w:val="0"/>
      <w:marRight w:val="0"/>
      <w:marTop w:val="0"/>
      <w:marBottom w:val="0"/>
      <w:divBdr>
        <w:top w:val="none" w:sz="0" w:space="0" w:color="auto"/>
        <w:left w:val="none" w:sz="0" w:space="0" w:color="auto"/>
        <w:bottom w:val="none" w:sz="0" w:space="0" w:color="auto"/>
        <w:right w:val="none" w:sz="0" w:space="0" w:color="auto"/>
      </w:divBdr>
    </w:div>
    <w:div w:id="415130478">
      <w:bodyDiv w:val="1"/>
      <w:marLeft w:val="0"/>
      <w:marRight w:val="0"/>
      <w:marTop w:val="0"/>
      <w:marBottom w:val="0"/>
      <w:divBdr>
        <w:top w:val="none" w:sz="0" w:space="0" w:color="auto"/>
        <w:left w:val="none" w:sz="0" w:space="0" w:color="auto"/>
        <w:bottom w:val="none" w:sz="0" w:space="0" w:color="auto"/>
        <w:right w:val="none" w:sz="0" w:space="0" w:color="auto"/>
      </w:divBdr>
    </w:div>
    <w:div w:id="442190438">
      <w:bodyDiv w:val="1"/>
      <w:marLeft w:val="0"/>
      <w:marRight w:val="0"/>
      <w:marTop w:val="0"/>
      <w:marBottom w:val="0"/>
      <w:divBdr>
        <w:top w:val="none" w:sz="0" w:space="0" w:color="auto"/>
        <w:left w:val="none" w:sz="0" w:space="0" w:color="auto"/>
        <w:bottom w:val="none" w:sz="0" w:space="0" w:color="auto"/>
        <w:right w:val="none" w:sz="0" w:space="0" w:color="auto"/>
      </w:divBdr>
      <w:divsChild>
        <w:div w:id="1895039764">
          <w:marLeft w:val="0"/>
          <w:marRight w:val="0"/>
          <w:marTop w:val="0"/>
          <w:marBottom w:val="0"/>
          <w:divBdr>
            <w:top w:val="none" w:sz="0" w:space="0" w:color="auto"/>
            <w:left w:val="none" w:sz="0" w:space="0" w:color="auto"/>
            <w:bottom w:val="none" w:sz="0" w:space="0" w:color="auto"/>
            <w:right w:val="none" w:sz="0" w:space="0" w:color="auto"/>
          </w:divBdr>
          <w:divsChild>
            <w:div w:id="10031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3863">
      <w:bodyDiv w:val="1"/>
      <w:marLeft w:val="0"/>
      <w:marRight w:val="0"/>
      <w:marTop w:val="0"/>
      <w:marBottom w:val="0"/>
      <w:divBdr>
        <w:top w:val="none" w:sz="0" w:space="0" w:color="auto"/>
        <w:left w:val="none" w:sz="0" w:space="0" w:color="auto"/>
        <w:bottom w:val="none" w:sz="0" w:space="0" w:color="auto"/>
        <w:right w:val="none" w:sz="0" w:space="0" w:color="auto"/>
      </w:divBdr>
    </w:div>
    <w:div w:id="1014380128">
      <w:bodyDiv w:val="1"/>
      <w:marLeft w:val="0"/>
      <w:marRight w:val="0"/>
      <w:marTop w:val="0"/>
      <w:marBottom w:val="0"/>
      <w:divBdr>
        <w:top w:val="none" w:sz="0" w:space="0" w:color="auto"/>
        <w:left w:val="none" w:sz="0" w:space="0" w:color="auto"/>
        <w:bottom w:val="none" w:sz="0" w:space="0" w:color="auto"/>
        <w:right w:val="none" w:sz="0" w:space="0" w:color="auto"/>
      </w:divBdr>
    </w:div>
    <w:div w:id="1261797342">
      <w:bodyDiv w:val="1"/>
      <w:marLeft w:val="0"/>
      <w:marRight w:val="0"/>
      <w:marTop w:val="0"/>
      <w:marBottom w:val="0"/>
      <w:divBdr>
        <w:top w:val="none" w:sz="0" w:space="0" w:color="auto"/>
        <w:left w:val="none" w:sz="0" w:space="0" w:color="auto"/>
        <w:bottom w:val="none" w:sz="0" w:space="0" w:color="auto"/>
        <w:right w:val="none" w:sz="0" w:space="0" w:color="auto"/>
      </w:divBdr>
    </w:div>
    <w:div w:id="1266034532">
      <w:bodyDiv w:val="1"/>
      <w:marLeft w:val="0"/>
      <w:marRight w:val="0"/>
      <w:marTop w:val="0"/>
      <w:marBottom w:val="0"/>
      <w:divBdr>
        <w:top w:val="none" w:sz="0" w:space="0" w:color="auto"/>
        <w:left w:val="none" w:sz="0" w:space="0" w:color="auto"/>
        <w:bottom w:val="none" w:sz="0" w:space="0" w:color="auto"/>
        <w:right w:val="none" w:sz="0" w:space="0" w:color="auto"/>
      </w:divBdr>
    </w:div>
    <w:div w:id="1311207750">
      <w:bodyDiv w:val="1"/>
      <w:marLeft w:val="0"/>
      <w:marRight w:val="0"/>
      <w:marTop w:val="0"/>
      <w:marBottom w:val="0"/>
      <w:divBdr>
        <w:top w:val="none" w:sz="0" w:space="0" w:color="auto"/>
        <w:left w:val="none" w:sz="0" w:space="0" w:color="auto"/>
        <w:bottom w:val="none" w:sz="0" w:space="0" w:color="auto"/>
        <w:right w:val="none" w:sz="0" w:space="0" w:color="auto"/>
      </w:divBdr>
    </w:div>
    <w:div w:id="1643536227">
      <w:bodyDiv w:val="1"/>
      <w:marLeft w:val="0"/>
      <w:marRight w:val="0"/>
      <w:marTop w:val="0"/>
      <w:marBottom w:val="0"/>
      <w:divBdr>
        <w:top w:val="none" w:sz="0" w:space="0" w:color="auto"/>
        <w:left w:val="none" w:sz="0" w:space="0" w:color="auto"/>
        <w:bottom w:val="none" w:sz="0" w:space="0" w:color="auto"/>
        <w:right w:val="none" w:sz="0" w:space="0" w:color="auto"/>
      </w:divBdr>
    </w:div>
    <w:div w:id="20731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Layout" Target="diagrams/layout1.xml"/><Relationship Id="rId18" Type="http://schemas.openxmlformats.org/officeDocument/2006/relationships/image" Target="media/image2.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cid:image002.png@01D4D4D3.7E6C6D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chart" Target="charts/chart3.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QuickStyle" Target="diagrams/quickStyle1.xml"/><Relationship Id="rId22" Type="http://schemas.openxmlformats.org/officeDocument/2006/relationships/image" Target="cid:image003.png@01D4D594.77A0F3E0" TargetMode="External"/><Relationship Id="rId27"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col.missouri.edu\um\um-depts\accounting\SystemSPO\Benefits\Flat%20Rate\Flate%20Rate%20Component%20Pie%20Chart%20FY1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ol.missouri.edu\um\um-depts\accounting\SystemSPO\Benefits\Flat%20Rate\Total%20Expense%2016-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gersam\AppData\Roaming\Microsoft\Excel\CY2018%20Medical%20Data%20Analysis%20V2%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30061982216467"/>
          <c:y val="0.12180240529635288"/>
          <c:w val="0.35038934147072442"/>
          <c:h val="0.75569044541074148"/>
        </c:manualLayout>
      </c:layout>
      <c:pieChart>
        <c:varyColors val="1"/>
        <c:ser>
          <c:idx val="0"/>
          <c:order val="0"/>
          <c:spPr>
            <a:ln w="12700">
              <a:solidFill>
                <a:schemeClr val="tx1">
                  <a:alpha val="98000"/>
                </a:schemeClr>
              </a:solidFill>
            </a:ln>
          </c:spPr>
          <c:dPt>
            <c:idx val="0"/>
            <c:bubble3D val="0"/>
            <c:spPr>
              <a:solidFill>
                <a:schemeClr val="accent1">
                  <a:lumMod val="75000"/>
                </a:schemeClr>
              </a:solidFill>
              <a:ln w="12700">
                <a:solidFill>
                  <a:schemeClr val="tx1">
                    <a:alpha val="98000"/>
                  </a:schemeClr>
                </a:solidFill>
              </a:ln>
              <a:effectLst/>
            </c:spPr>
            <c:extLst xmlns:c16r2="http://schemas.microsoft.com/office/drawing/2015/06/chart">
              <c:ext xmlns:c16="http://schemas.microsoft.com/office/drawing/2014/chart" uri="{C3380CC4-5D6E-409C-BE32-E72D297353CC}">
                <c16:uniqueId val="{00000001-1F06-434C-A2A0-F3F9B75550E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2700">
                <a:solidFill>
                  <a:schemeClr val="tx1">
                    <a:alpha val="98000"/>
                  </a:schemeClr>
                </a:solidFill>
              </a:ln>
              <a:effectLst/>
            </c:spPr>
            <c:extLst xmlns:c16r2="http://schemas.microsoft.com/office/drawing/2015/06/chart">
              <c:ext xmlns:c16="http://schemas.microsoft.com/office/drawing/2014/chart" uri="{C3380CC4-5D6E-409C-BE32-E72D297353CC}">
                <c16:uniqueId val="{00000003-1F06-434C-A2A0-F3F9B75550EC}"/>
              </c:ext>
            </c:extLst>
          </c:dPt>
          <c:dPt>
            <c:idx val="2"/>
            <c:bubble3D val="0"/>
            <c:spPr>
              <a:solidFill>
                <a:schemeClr val="accent4"/>
              </a:solidFill>
              <a:ln w="12700">
                <a:solidFill>
                  <a:schemeClr val="tx1">
                    <a:alpha val="98000"/>
                  </a:schemeClr>
                </a:solidFill>
              </a:ln>
              <a:effectLst/>
            </c:spPr>
            <c:extLst xmlns:c16r2="http://schemas.microsoft.com/office/drawing/2015/06/chart">
              <c:ext xmlns:c16="http://schemas.microsoft.com/office/drawing/2014/chart" uri="{C3380CC4-5D6E-409C-BE32-E72D297353CC}">
                <c16:uniqueId val="{00000005-1F06-434C-A2A0-F3F9B75550EC}"/>
              </c:ext>
            </c:extLst>
          </c:dPt>
          <c:dPt>
            <c:idx val="3"/>
            <c:bubble3D val="0"/>
            <c:spPr>
              <a:solidFill>
                <a:srgbClr val="C00000"/>
              </a:solidFill>
              <a:ln w="12700">
                <a:solidFill>
                  <a:schemeClr val="tx1">
                    <a:alpha val="98000"/>
                  </a:schemeClr>
                </a:solidFill>
              </a:ln>
              <a:effectLst/>
            </c:spPr>
            <c:extLst xmlns:c16r2="http://schemas.microsoft.com/office/drawing/2015/06/chart">
              <c:ext xmlns:c16="http://schemas.microsoft.com/office/drawing/2014/chart" uri="{C3380CC4-5D6E-409C-BE32-E72D297353CC}">
                <c16:uniqueId val="{00000007-1F06-434C-A2A0-F3F9B75550EC}"/>
              </c:ext>
            </c:extLst>
          </c:dPt>
          <c:dPt>
            <c:idx val="4"/>
            <c:bubble3D val="0"/>
            <c:spPr>
              <a:solidFill>
                <a:schemeClr val="accent6">
                  <a:lumMod val="75000"/>
                </a:schemeClr>
              </a:solidFill>
              <a:ln w="12700">
                <a:solidFill>
                  <a:schemeClr val="tx1">
                    <a:alpha val="98000"/>
                  </a:schemeClr>
                </a:solidFill>
              </a:ln>
              <a:effectLst/>
            </c:spPr>
            <c:extLst xmlns:c16r2="http://schemas.microsoft.com/office/drawing/2015/06/chart">
              <c:ext xmlns:c16="http://schemas.microsoft.com/office/drawing/2014/chart" uri="{C3380CC4-5D6E-409C-BE32-E72D297353CC}">
                <c16:uniqueId val="{00000009-1F06-434C-A2A0-F3F9B75550EC}"/>
              </c:ext>
            </c:extLst>
          </c:dPt>
          <c:dPt>
            <c:idx val="5"/>
            <c:bubble3D val="0"/>
            <c:spPr>
              <a:solidFill>
                <a:schemeClr val="bg1">
                  <a:lumMod val="50000"/>
                </a:schemeClr>
              </a:solidFill>
              <a:ln w="12700">
                <a:solidFill>
                  <a:schemeClr val="tx1">
                    <a:alpha val="98000"/>
                  </a:schemeClr>
                </a:solidFill>
              </a:ln>
              <a:effectLst/>
            </c:spPr>
            <c:extLst xmlns:c16r2="http://schemas.microsoft.com/office/drawing/2015/06/chart">
              <c:ext xmlns:c16="http://schemas.microsoft.com/office/drawing/2014/chart" uri="{C3380CC4-5D6E-409C-BE32-E72D297353CC}">
                <c16:uniqueId val="{0000000B-1F06-434C-A2A0-F3F9B75550EC}"/>
              </c:ext>
            </c:extLst>
          </c:dPt>
          <c:dPt>
            <c:idx val="6"/>
            <c:bubble3D val="0"/>
            <c:spPr>
              <a:solidFill>
                <a:schemeClr val="accent2">
                  <a:lumMod val="75000"/>
                </a:schemeClr>
              </a:solidFill>
              <a:ln w="12700">
                <a:solidFill>
                  <a:schemeClr val="tx1">
                    <a:alpha val="98000"/>
                  </a:schemeClr>
                </a:solidFill>
              </a:ln>
              <a:effectLst/>
            </c:spPr>
            <c:extLst xmlns:c16r2="http://schemas.microsoft.com/office/drawing/2015/06/chart">
              <c:ext xmlns:c16="http://schemas.microsoft.com/office/drawing/2014/chart" uri="{C3380CC4-5D6E-409C-BE32-E72D297353CC}">
                <c16:uniqueId val="{0000000D-1F06-434C-A2A0-F3F9B75550EC}"/>
              </c:ext>
            </c:extLst>
          </c:dPt>
          <c:dLbls>
            <c:dLbl>
              <c:idx val="0"/>
              <c:layout>
                <c:manualLayout>
                  <c:x val="1.0652774317928278E-2"/>
                  <c:y val="-1.0280568595333283E-2"/>
                </c:manualLayout>
              </c:layout>
              <c:tx>
                <c:rich>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fld id="{7D03465F-32DE-47AE-8CF5-9092FF1FC826}" type="CATEGORYNAME">
                      <a:rPr lang="en-US" sz="800"/>
                      <a:pPr>
                        <a:defRPr sz="800"/>
                      </a:pPr>
                      <a:t>[CATEGORY NAME]</a:t>
                    </a:fld>
                    <a:endParaRPr lang="en-US" sz="800" baseline="0"/>
                  </a:p>
                  <a:p>
                    <a:pPr>
                      <a:defRPr sz="800"/>
                    </a:pPr>
                    <a:r>
                      <a:rPr lang="en-US" sz="800" baseline="0"/>
                      <a:t> </a:t>
                    </a:r>
                    <a:fld id="{B78778D7-B699-476B-8A32-6E58666DB8D9}" type="VALUE">
                      <a:rPr lang="en-US" sz="800" baseline="0"/>
                      <a:pPr>
                        <a:defRPr sz="800"/>
                      </a:pPr>
                      <a:t>[VALUE]</a:t>
                    </a:fld>
                    <a:endParaRPr lang="en-US" sz="800" baseline="0"/>
                  </a:p>
                </c:rich>
              </c:tx>
              <c:spPr>
                <a:noFill/>
                <a:ln>
                  <a:noFill/>
                </a:ln>
                <a:effectLst/>
              </c:spPr>
              <c:txPr>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1F06-434C-A2A0-F3F9B75550EC}"/>
                </c:ext>
                <c:ext xmlns:c15="http://schemas.microsoft.com/office/drawing/2012/chart" uri="{CE6537A1-D6FC-4f65-9D91-7224C49458BB}">
                  <c15:layout/>
                  <c15:dlblFieldTable/>
                  <c15:showDataLabelsRange val="0"/>
                </c:ext>
              </c:extLst>
            </c:dLbl>
            <c:dLbl>
              <c:idx val="1"/>
              <c:layout>
                <c:manualLayout>
                  <c:x val="-3.260268532458202E-2"/>
                  <c:y val="-1.0455064953904317E-2"/>
                </c:manualLayout>
              </c:layout>
              <c:tx>
                <c:rich>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fld id="{ABB20482-FD62-4D62-8E10-2D08F09B13D5}" type="CATEGORYNAME">
                      <a:rPr lang="en-US" sz="800"/>
                      <a:pPr>
                        <a:defRPr sz="800"/>
                      </a:pPr>
                      <a:t>[CATEGORY NAME]</a:t>
                    </a:fld>
                    <a:endParaRPr lang="en-US" sz="800" baseline="0"/>
                  </a:p>
                  <a:p>
                    <a:pPr>
                      <a:defRPr sz="800"/>
                    </a:pPr>
                    <a:r>
                      <a:rPr lang="en-US" sz="800" baseline="0"/>
                      <a:t> </a:t>
                    </a:r>
                    <a:fld id="{945BA986-86FB-4CD4-A8E2-AFDCB61F1CA7}" type="VALUE">
                      <a:rPr lang="en-US" sz="800" baseline="0"/>
                      <a:pPr>
                        <a:defRPr sz="800"/>
                      </a:pPr>
                      <a:t>[VALUE]</a:t>
                    </a:fld>
                    <a:endParaRPr lang="en-US" sz="800" baseline="0"/>
                  </a:p>
                </c:rich>
              </c:tx>
              <c:spPr>
                <a:noFill/>
                <a:ln>
                  <a:noFill/>
                </a:ln>
                <a:effectLst/>
              </c:spPr>
              <c:txPr>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1F06-434C-A2A0-F3F9B75550EC}"/>
                </c:ext>
                <c:ext xmlns:c15="http://schemas.microsoft.com/office/drawing/2012/chart" uri="{CE6537A1-D6FC-4f65-9D91-7224C49458BB}">
                  <c15:layout/>
                  <c15:dlblFieldTable/>
                  <c15:showDataLabelsRange val="0"/>
                </c:ext>
              </c:extLst>
            </c:dLbl>
            <c:dLbl>
              <c:idx val="2"/>
              <c:layout>
                <c:manualLayout>
                  <c:x val="-8.4844017509109488E-3"/>
                  <c:y val="0.10483500357909807"/>
                </c:manualLayout>
              </c:layout>
              <c:tx>
                <c:rich>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fld id="{7AE45ABF-E243-4BB5-960E-E21A65C2D0DB}" type="CATEGORYNAME">
                      <a:rPr lang="en-US" sz="800"/>
                      <a:pPr>
                        <a:defRPr sz="800"/>
                      </a:pPr>
                      <a:t>[CATEGORY NAME]</a:t>
                    </a:fld>
                    <a:endParaRPr lang="en-US" sz="800" baseline="0"/>
                  </a:p>
                  <a:p>
                    <a:pPr>
                      <a:defRPr sz="800"/>
                    </a:pPr>
                    <a:r>
                      <a:rPr lang="en-US" sz="800" baseline="0"/>
                      <a:t> </a:t>
                    </a:r>
                    <a:fld id="{70B2AD7A-3B04-40D1-9666-21F35BD2EDA6}" type="VALUE">
                      <a:rPr lang="en-US" sz="800" baseline="0"/>
                      <a:pPr>
                        <a:defRPr sz="800"/>
                      </a:pPr>
                      <a:t>[VALUE]</a:t>
                    </a:fld>
                    <a:endParaRPr lang="en-US" sz="800" baseline="0"/>
                  </a:p>
                </c:rich>
              </c:tx>
              <c:spPr>
                <a:noFill/>
                <a:ln>
                  <a:noFill/>
                </a:ln>
                <a:effectLst/>
              </c:spPr>
              <c:txPr>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1F06-434C-A2A0-F3F9B75550EC}"/>
                </c:ext>
                <c:ext xmlns:c15="http://schemas.microsoft.com/office/drawing/2012/chart" uri="{CE6537A1-D6FC-4f65-9D91-7224C49458BB}">
                  <c15:layout/>
                  <c15:dlblFieldTable/>
                  <c15:showDataLabelsRange val="0"/>
                </c:ext>
              </c:extLst>
            </c:dLbl>
            <c:dLbl>
              <c:idx val="3"/>
              <c:layout>
                <c:manualLayout>
                  <c:x val="1.9265285521578652E-2"/>
                  <c:y val="1.634674623792557E-2"/>
                </c:manualLayout>
              </c:layout>
              <c:spPr>
                <a:noFill/>
                <a:ln>
                  <a:noFill/>
                </a:ln>
                <a:effectLst/>
              </c:spPr>
              <c:txPr>
                <a:bodyPr rot="0" spcFirstLastPara="1" vertOverflow="ellipsis" vert="horz" wrap="square" anchor="ctr" anchorCtr="1"/>
                <a:lstStyle/>
                <a:p>
                  <a:pPr>
                    <a:defRPr sz="700" b="1" i="0" u="none" strike="noStrike" kern="1200" baseline="0">
                      <a:solidFill>
                        <a:schemeClr val="tx2"/>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1F06-434C-A2A0-F3F9B75550EC}"/>
                </c:ext>
                <c:ext xmlns:c15="http://schemas.microsoft.com/office/drawing/2012/chart" uri="{CE6537A1-D6FC-4f65-9D91-7224C49458BB}">
                  <c15:layout/>
                </c:ext>
              </c:extLst>
            </c:dLbl>
            <c:dLbl>
              <c:idx val="4"/>
              <c:layout>
                <c:manualLayout>
                  <c:x val="-7.5145537603647297E-3"/>
                  <c:y val="8.9415129079014428E-4"/>
                </c:manualLayout>
              </c:layout>
              <c:tx>
                <c:rich>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fld id="{81B5DF12-7923-434D-B45B-E9E536862BCF}" type="CATEGORYNAME">
                      <a:rPr lang="en-US" sz="800"/>
                      <a:pPr>
                        <a:defRPr sz="800"/>
                      </a:pPr>
                      <a:t>[CATEGORY NAME]</a:t>
                    </a:fld>
                    <a:r>
                      <a:rPr lang="en-US" sz="800" baseline="0"/>
                      <a:t> </a:t>
                    </a:r>
                    <a:fld id="{CCDA1511-DAB2-483C-B280-421E0475DB15}" type="VALUE">
                      <a:rPr lang="en-US" sz="800" baseline="0"/>
                      <a:pPr>
                        <a:defRPr sz="800"/>
                      </a:pPr>
                      <a:t>[VALUE]</a:t>
                    </a:fld>
                    <a:endParaRPr lang="en-US" sz="800" baseline="0"/>
                  </a:p>
                </c:rich>
              </c:tx>
              <c:spPr>
                <a:noFill/>
                <a:ln>
                  <a:noFill/>
                </a:ln>
                <a:effectLst/>
              </c:spPr>
              <c:txPr>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1F06-434C-A2A0-F3F9B75550EC}"/>
                </c:ext>
                <c:ext xmlns:c15="http://schemas.microsoft.com/office/drawing/2012/chart" uri="{CE6537A1-D6FC-4f65-9D91-7224C49458BB}">
                  <c15:layout>
                    <c:manualLayout>
                      <c:w val="0.19218247373057606"/>
                      <c:h val="0.13358130606808474"/>
                    </c:manualLayout>
                  </c15:layout>
                  <c15:dlblFieldTable/>
                  <c15:showDataLabelsRange val="0"/>
                </c:ext>
              </c:extLst>
            </c:dLbl>
            <c:dLbl>
              <c:idx val="5"/>
              <c:layout>
                <c:manualLayout>
                  <c:x val="0.10533562197458882"/>
                  <c:y val="0"/>
                </c:manualLayout>
              </c:layout>
              <c:tx>
                <c:rich>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fld id="{A04720F6-5599-4126-9EC6-3A7B909A38FB}" type="CATEGORYNAME">
                      <a:rPr lang="en-US" sz="800"/>
                      <a:pPr>
                        <a:defRPr sz="800"/>
                      </a:pPr>
                      <a:t>[CATEGORY NAME]</a:t>
                    </a:fld>
                    <a:endParaRPr lang="en-US" sz="800"/>
                  </a:p>
                  <a:p>
                    <a:pPr>
                      <a:defRPr sz="800"/>
                    </a:pPr>
                    <a:fld id="{86229A71-51BA-4B6E-9E56-24AF130568B1}" type="VALUE">
                      <a:rPr lang="en-US" sz="800"/>
                      <a:pPr>
                        <a:defRPr sz="800"/>
                      </a:pPr>
                      <a:t>[VALUE]</a:t>
                    </a:fld>
                    <a:endParaRPr lang="en-US"/>
                  </a:p>
                </c:rich>
              </c:tx>
              <c:spPr>
                <a:noFill/>
                <a:ln>
                  <a:noFill/>
                </a:ln>
                <a:effectLst/>
              </c:spPr>
              <c:txPr>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1F06-434C-A2A0-F3F9B75550EC}"/>
                </c:ext>
                <c:ext xmlns:c15="http://schemas.microsoft.com/office/drawing/2012/chart" uri="{CE6537A1-D6FC-4f65-9D91-7224C49458BB}">
                  <c15:layout>
                    <c:manualLayout>
                      <c:w val="0.29740115229295505"/>
                      <c:h val="0.12383129699968085"/>
                    </c:manualLayout>
                  </c15:layout>
                  <c15:dlblFieldTable/>
                  <c15:showDataLabelsRange val="0"/>
                </c:ext>
              </c:extLst>
            </c:dLbl>
            <c:dLbl>
              <c:idx val="6"/>
              <c:layout>
                <c:manualLayout>
                  <c:x val="0.10893919560493021"/>
                  <c:y val="1.8047662326172456E-2"/>
                </c:manualLayout>
              </c:layout>
              <c:spPr>
                <a:noFill/>
                <a:ln>
                  <a:noFill/>
                </a:ln>
                <a:effectLst/>
              </c:spPr>
              <c:txPr>
                <a:bodyPr rot="0" spcFirstLastPara="1" vertOverflow="ellipsis" vert="horz" wrap="square" anchor="ctr" anchorCtr="1"/>
                <a:lstStyle/>
                <a:p>
                  <a:pPr>
                    <a:defRPr sz="700" b="1" i="0" u="none" strike="noStrike" kern="1200" baseline="0">
                      <a:solidFill>
                        <a:schemeClr val="tx2"/>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1F06-434C-A2A0-F3F9B75550EC}"/>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600" b="1" i="0" u="none" strike="noStrike" kern="1200" baseline="0">
                    <a:solidFill>
                      <a:schemeClr val="tx2"/>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Sheet1!$A$14:$A$20</c:f>
              <c:strCache>
                <c:ptCount val="7"/>
                <c:pt idx="0">
                  <c:v>Medical</c:v>
                </c:pt>
                <c:pt idx="1">
                  <c:v>Retirement</c:v>
                </c:pt>
                <c:pt idx="2">
                  <c:v>Retiree Benefits</c:v>
                </c:pt>
                <c:pt idx="3">
                  <c:v>Dental</c:v>
                </c:pt>
                <c:pt idx="4">
                  <c:v>Unemployment &amp; Worker's Comp</c:v>
                </c:pt>
                <c:pt idx="5">
                  <c:v>Tuition Assist, EAP, Other</c:v>
                </c:pt>
                <c:pt idx="6">
                  <c:v>LTD &amp; Life</c:v>
                </c:pt>
              </c:strCache>
            </c:strRef>
          </c:cat>
          <c:val>
            <c:numRef>
              <c:f>Sheet1!$D$14:$D$20</c:f>
              <c:numCache>
                <c:formatCode>0%</c:formatCode>
                <c:ptCount val="7"/>
                <c:pt idx="0">
                  <c:v>0.4793892505384994</c:v>
                </c:pt>
                <c:pt idx="1">
                  <c:v>0.38670579448921788</c:v>
                </c:pt>
                <c:pt idx="2">
                  <c:v>5.3423327927760465E-2</c:v>
                </c:pt>
                <c:pt idx="3">
                  <c:v>1.6481411964970123E-2</c:v>
                </c:pt>
                <c:pt idx="4">
                  <c:v>2.1065142999309529E-2</c:v>
                </c:pt>
                <c:pt idx="5">
                  <c:v>3.3165748952656171E-2</c:v>
                </c:pt>
                <c:pt idx="6">
                  <c:v>9.7693231275864725E-3</c:v>
                </c:pt>
              </c:numCache>
            </c:numRef>
          </c:val>
          <c:extLst xmlns:c16r2="http://schemas.microsoft.com/office/drawing/2015/06/chart">
            <c:ext xmlns:c16="http://schemas.microsoft.com/office/drawing/2014/chart" uri="{C3380CC4-5D6E-409C-BE32-E72D297353CC}">
              <c16:uniqueId val="{0000000E-1F06-434C-A2A0-F3F9B75550EC}"/>
            </c:ext>
          </c:extLst>
        </c:ser>
        <c: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0-1F06-434C-A2A0-F3F9B75550EC}"/>
              </c:ext>
            </c:extLst>
          </c:dPt>
          <c:dLbls>
            <c:spPr>
              <a:noFill/>
              <a:ln>
                <a:noFill/>
              </a:ln>
              <a:effectLst/>
            </c:spPr>
            <c:txPr>
              <a:bodyPr rot="0" spcFirstLastPara="1" vertOverflow="ellipsis" vert="horz" wrap="square" anchor="ctr" anchorCtr="1"/>
              <a:lstStyle/>
              <a:p>
                <a:pPr>
                  <a:defRPr sz="600" b="1"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Sheet1!$A$14:$A$20</c:f>
              <c:strCache>
                <c:ptCount val="7"/>
                <c:pt idx="0">
                  <c:v>Medical</c:v>
                </c:pt>
                <c:pt idx="1">
                  <c:v>Retirement</c:v>
                </c:pt>
                <c:pt idx="2">
                  <c:v>Retiree Benefits</c:v>
                </c:pt>
                <c:pt idx="3">
                  <c:v>Dental</c:v>
                </c:pt>
                <c:pt idx="4">
                  <c:v>Unemployment &amp; Worker's Comp</c:v>
                </c:pt>
                <c:pt idx="5">
                  <c:v>Tuition Assist, EAP, Other</c:v>
                </c:pt>
                <c:pt idx="6">
                  <c:v>LTD &amp; Life</c:v>
                </c:pt>
              </c:strCache>
            </c:strRef>
          </c:cat>
          <c:val>
            <c:numRef>
              <c:f>'FY20 Rates\[FY20 Benefit Flat Rate Final.xlsx]FY19 &amp; FY20 Flat Rate'!$M$36</c:f>
              <c:numCache>
                <c:formatCode>General</c:formatCode>
                <c:ptCount val="1"/>
                <c:pt idx="0">
                  <c:v>365863861.75655609</c:v>
                </c:pt>
              </c:numCache>
            </c:numRef>
          </c:val>
          <c:extLst xmlns:c16r2="http://schemas.microsoft.com/office/drawing/2015/06/chart">
            <c:ext xmlns:c16="http://schemas.microsoft.com/office/drawing/2014/chart" uri="{C3380CC4-5D6E-409C-BE32-E72D297353CC}">
              <c16:uniqueId val="{00000011-1F06-434C-A2A0-F3F9B75550EC}"/>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600" b="1"/>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University Benefit Contributions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Benefit Cost</c:v>
                </c:pt>
              </c:strCache>
            </c:strRef>
          </c:tx>
          <c:spPr>
            <a:solidFill>
              <a:schemeClr val="accent1"/>
            </a:solidFill>
            <a:ln>
              <a:noFill/>
            </a:ln>
            <a:effectLst/>
          </c:spPr>
          <c:invertIfNegative val="0"/>
          <c:cat>
            <c:strRef>
              <c:f>Sheet1!$A$2:$A$6</c:f>
              <c:strCache>
                <c:ptCount val="5"/>
                <c:pt idx="0">
                  <c:v>FY 2016</c:v>
                </c:pt>
                <c:pt idx="1">
                  <c:v>FY 2017</c:v>
                </c:pt>
                <c:pt idx="2">
                  <c:v>FY 2018</c:v>
                </c:pt>
                <c:pt idx="3">
                  <c:v>Estimated FY 2019</c:v>
                </c:pt>
                <c:pt idx="4">
                  <c:v>Projected  FY2020</c:v>
                </c:pt>
              </c:strCache>
            </c:strRef>
          </c:cat>
          <c:val>
            <c:numRef>
              <c:f>Sheet1!$B$2:$B$6</c:f>
              <c:numCache>
                <c:formatCode>_(* #,##0.00_);_(* \(#,##0.00\);_(* "-"??_);_(@_)</c:formatCode>
                <c:ptCount val="5"/>
                <c:pt idx="0">
                  <c:v>308303119.80794913</c:v>
                </c:pt>
                <c:pt idx="1">
                  <c:v>324769507.7790224</c:v>
                </c:pt>
                <c:pt idx="2">
                  <c:v>319831083.15982705</c:v>
                </c:pt>
                <c:pt idx="3">
                  <c:v>354205299.79560572</c:v>
                </c:pt>
                <c:pt idx="4">
                  <c:v>365863861.75655597</c:v>
                </c:pt>
              </c:numCache>
            </c:numRef>
          </c:val>
          <c:extLst xmlns:c16r2="http://schemas.microsoft.com/office/drawing/2015/06/chart">
            <c:ext xmlns:c16="http://schemas.microsoft.com/office/drawing/2014/chart" uri="{C3380CC4-5D6E-409C-BE32-E72D297353CC}">
              <c16:uniqueId val="{00000000-7C60-4702-862F-C55FCBD64024}"/>
            </c:ext>
          </c:extLst>
        </c:ser>
        <c:dLbls>
          <c:showLegendKey val="0"/>
          <c:showVal val="0"/>
          <c:showCatName val="0"/>
          <c:showSerName val="0"/>
          <c:showPercent val="0"/>
          <c:showBubbleSize val="0"/>
        </c:dLbls>
        <c:gapWidth val="219"/>
        <c:overlap val="-27"/>
        <c:axId val="169358000"/>
        <c:axId val="169358392"/>
      </c:barChart>
      <c:catAx>
        <c:axId val="16935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58392"/>
        <c:crosses val="autoZero"/>
        <c:auto val="1"/>
        <c:lblAlgn val="ctr"/>
        <c:lblOffset val="100"/>
        <c:noMultiLvlLbl val="0"/>
      </c:catAx>
      <c:valAx>
        <c:axId val="1693583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58000"/>
        <c:crosses val="autoZero"/>
        <c:crossBetween val="between"/>
        <c:dispUnits>
          <c:builtInUnit val="million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Pharmacy</a:t>
            </a:r>
            <a:r>
              <a:rPr lang="en-US" baseline="0"/>
              <a:t> Cost Per Employee Per Month</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'All Plans'!$B$126:$E$127</c:f>
              <c:strCache>
                <c:ptCount val="4"/>
                <c:pt idx="0">
                  <c:v>2015</c:v>
                </c:pt>
                <c:pt idx="1">
                  <c:v>2016</c:v>
                </c:pt>
                <c:pt idx="2">
                  <c:v>2017</c:v>
                </c:pt>
                <c:pt idx="3">
                  <c:v>2018</c:v>
                </c:pt>
              </c:strCache>
              <c:extLst xmlns:c16r2="http://schemas.microsoft.com/office/drawing/2015/06/chart"/>
            </c:strRef>
          </c:cat>
          <c:val>
            <c:numRef>
              <c:f>'All Plans'!$B$130:$E$130</c:f>
              <c:numCache>
                <c:formatCode>"$"#,##0.00</c:formatCode>
                <c:ptCount val="4"/>
                <c:pt idx="0">
                  <c:v>134.07194216407274</c:v>
                </c:pt>
                <c:pt idx="1">
                  <c:v>119.90943221125453</c:v>
                </c:pt>
                <c:pt idx="2">
                  <c:v>142.06032503567465</c:v>
                </c:pt>
                <c:pt idx="3">
                  <c:v>151.8844697986577</c:v>
                </c:pt>
              </c:numCache>
            </c:numRef>
          </c:val>
          <c:extLst xmlns:c16r2="http://schemas.microsoft.com/office/drawing/2015/06/chart">
            <c:ext xmlns:c16="http://schemas.microsoft.com/office/drawing/2014/chart" uri="{C3380CC4-5D6E-409C-BE32-E72D297353CC}">
              <c16:uniqueId val="{00000000-48F6-40DB-87BF-D58E6EF7FF30}"/>
            </c:ext>
          </c:extLst>
        </c:ser>
        <c:dLbls>
          <c:showLegendKey val="0"/>
          <c:showVal val="0"/>
          <c:showCatName val="0"/>
          <c:showSerName val="0"/>
          <c:showPercent val="0"/>
          <c:showBubbleSize val="0"/>
        </c:dLbls>
        <c:gapWidth val="219"/>
        <c:overlap val="-27"/>
        <c:axId val="169359568"/>
        <c:axId val="168103264"/>
      </c:barChart>
      <c:catAx>
        <c:axId val="16935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103264"/>
        <c:crosses val="autoZero"/>
        <c:auto val="1"/>
        <c:lblAlgn val="ctr"/>
        <c:lblOffset val="100"/>
        <c:noMultiLvlLbl val="0"/>
      </c:catAx>
      <c:valAx>
        <c:axId val="16810326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59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Medical Claim Cost Per Employee Per Month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'All Plans'!$A$120:$D$121</c:f>
              <c:strCache>
                <c:ptCount val="4"/>
                <c:pt idx="0">
                  <c:v>2015</c:v>
                </c:pt>
                <c:pt idx="1">
                  <c:v>2016</c:v>
                </c:pt>
                <c:pt idx="2">
                  <c:v>2017</c:v>
                </c:pt>
                <c:pt idx="3">
                  <c:v>2018</c:v>
                </c:pt>
              </c:strCache>
            </c:strRef>
          </c:cat>
          <c:val>
            <c:numRef>
              <c:f>'All Plans'!$A$122:$D$122</c:f>
              <c:numCache>
                <c:formatCode>_("$"* #,##0.00_);_("$"* \(#,##0.00\);_("$"* "-"??_);_(@_)</c:formatCode>
                <c:ptCount val="4"/>
                <c:pt idx="0">
                  <c:v>597.82485676415251</c:v>
                </c:pt>
                <c:pt idx="1">
                  <c:v>622.802957760342</c:v>
                </c:pt>
                <c:pt idx="2">
                  <c:v>731.6596858869334</c:v>
                </c:pt>
                <c:pt idx="3">
                  <c:v>737.79134228187922</c:v>
                </c:pt>
              </c:numCache>
            </c:numRef>
          </c:val>
          <c:extLst xmlns:c16r2="http://schemas.microsoft.com/office/drawing/2015/06/chart">
            <c:ext xmlns:c16="http://schemas.microsoft.com/office/drawing/2014/chart" uri="{C3380CC4-5D6E-409C-BE32-E72D297353CC}">
              <c16:uniqueId val="{00000000-C146-4B36-85B2-E81FCC8E3849}"/>
            </c:ext>
          </c:extLst>
        </c:ser>
        <c:dLbls>
          <c:showLegendKey val="0"/>
          <c:showVal val="0"/>
          <c:showCatName val="0"/>
          <c:showSerName val="0"/>
          <c:showPercent val="0"/>
          <c:showBubbleSize val="0"/>
        </c:dLbls>
        <c:gapWidth val="219"/>
        <c:overlap val="-27"/>
        <c:axId val="297461160"/>
        <c:axId val="297461552"/>
      </c:barChart>
      <c:catAx>
        <c:axId val="297461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461552"/>
        <c:crosses val="autoZero"/>
        <c:auto val="1"/>
        <c:lblAlgn val="ctr"/>
        <c:lblOffset val="100"/>
        <c:noMultiLvlLbl val="0"/>
      </c:catAx>
      <c:valAx>
        <c:axId val="29746155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461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866E4A-EB03-4584-84CA-201CE73D9495}"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D8250852-1AA1-41A6-B022-5C185A0F39AC}">
      <dgm:prSet phldrT="[Text]"/>
      <dgm:spPr/>
      <dgm:t>
        <a:bodyPr/>
        <a:lstStyle/>
        <a:p>
          <a:r>
            <a:rPr lang="en-US"/>
            <a:t>Neoplasms - driven by radiation/chemo and breast cancer</a:t>
          </a:r>
        </a:p>
      </dgm:t>
    </dgm:pt>
    <dgm:pt modelId="{064D0ADF-BCD4-4F5E-8D58-DA201AFE5F07}" type="parTrans" cxnId="{F7BA6FE1-5876-4CEB-BC04-D98F8AD1EB22}">
      <dgm:prSet/>
      <dgm:spPr/>
      <dgm:t>
        <a:bodyPr/>
        <a:lstStyle/>
        <a:p>
          <a:endParaRPr lang="en-US"/>
        </a:p>
      </dgm:t>
    </dgm:pt>
    <dgm:pt modelId="{93CA2F6F-2839-47D0-B1C5-B787911A89EA}" type="sibTrans" cxnId="{F7BA6FE1-5876-4CEB-BC04-D98F8AD1EB22}">
      <dgm:prSet/>
      <dgm:spPr/>
      <dgm:t>
        <a:bodyPr/>
        <a:lstStyle/>
        <a:p>
          <a:endParaRPr lang="en-US"/>
        </a:p>
      </dgm:t>
    </dgm:pt>
    <dgm:pt modelId="{831C98CF-0A8C-4A62-A871-3C715D16A188}">
      <dgm:prSet phldrT="[Text]"/>
      <dgm:spPr/>
      <dgm:t>
        <a:bodyPr/>
        <a:lstStyle/>
        <a:p>
          <a:r>
            <a:rPr lang="en-US"/>
            <a:t>Musculoskeletal - driven by back/neck pain and osteoarthritis</a:t>
          </a:r>
        </a:p>
      </dgm:t>
    </dgm:pt>
    <dgm:pt modelId="{E4FCBA2D-D7C1-4886-9F9D-3ACF0CA22A15}" type="parTrans" cxnId="{A7759B4C-BB87-4BE7-AA36-EE370715B352}">
      <dgm:prSet/>
      <dgm:spPr/>
      <dgm:t>
        <a:bodyPr/>
        <a:lstStyle/>
        <a:p>
          <a:endParaRPr lang="en-US"/>
        </a:p>
      </dgm:t>
    </dgm:pt>
    <dgm:pt modelId="{741DE432-CA73-4989-8905-69F90E9525A7}" type="sibTrans" cxnId="{A7759B4C-BB87-4BE7-AA36-EE370715B352}">
      <dgm:prSet/>
      <dgm:spPr/>
      <dgm:t>
        <a:bodyPr/>
        <a:lstStyle/>
        <a:p>
          <a:endParaRPr lang="en-US"/>
        </a:p>
      </dgm:t>
    </dgm:pt>
    <dgm:pt modelId="{3FE616B2-52CC-48FC-AE4C-872FAA7D21E2}">
      <dgm:prSet phldrT="[Text]"/>
      <dgm:spPr/>
      <dgm:t>
        <a:bodyPr/>
        <a:lstStyle/>
        <a:p>
          <a:r>
            <a:rPr lang="en-US"/>
            <a:t>Other Conditions - driven by screenings for suspected conditions, immunizations and preventative screenings</a:t>
          </a:r>
        </a:p>
      </dgm:t>
    </dgm:pt>
    <dgm:pt modelId="{E606771A-A32B-43EB-A316-A1F90C1221D6}" type="parTrans" cxnId="{43797307-5212-45D8-900E-E6EDA6F96CB2}">
      <dgm:prSet/>
      <dgm:spPr/>
      <dgm:t>
        <a:bodyPr/>
        <a:lstStyle/>
        <a:p>
          <a:endParaRPr lang="en-US"/>
        </a:p>
      </dgm:t>
    </dgm:pt>
    <dgm:pt modelId="{460F78D5-9916-4B0A-A025-DD5CF357EFB3}" type="sibTrans" cxnId="{43797307-5212-45D8-900E-E6EDA6F96CB2}">
      <dgm:prSet/>
      <dgm:spPr/>
      <dgm:t>
        <a:bodyPr/>
        <a:lstStyle/>
        <a:p>
          <a:endParaRPr lang="en-US"/>
        </a:p>
      </dgm:t>
    </dgm:pt>
    <dgm:pt modelId="{57381114-AC25-40A7-87CB-595C4D69F2E6}">
      <dgm:prSet phldrT="[Text]"/>
      <dgm:spPr/>
      <dgm:t>
        <a:bodyPr/>
        <a:lstStyle/>
        <a:p>
          <a:r>
            <a:rPr lang="en-US"/>
            <a:t>Circulatory - driven by cardiac dysrhythmia and coronary atherosclerosis</a:t>
          </a:r>
        </a:p>
      </dgm:t>
    </dgm:pt>
    <dgm:pt modelId="{1AA5C076-8671-4E9F-8439-6933F4D29804}" type="parTrans" cxnId="{502D76B4-2AC2-49F3-ACA9-34DC87D4661C}">
      <dgm:prSet/>
      <dgm:spPr/>
      <dgm:t>
        <a:bodyPr/>
        <a:lstStyle/>
        <a:p>
          <a:endParaRPr lang="en-US"/>
        </a:p>
      </dgm:t>
    </dgm:pt>
    <dgm:pt modelId="{B77C1752-5E78-4F5C-873C-8BFF07FC48D9}" type="sibTrans" cxnId="{502D76B4-2AC2-49F3-ACA9-34DC87D4661C}">
      <dgm:prSet/>
      <dgm:spPr/>
      <dgm:t>
        <a:bodyPr/>
        <a:lstStyle/>
        <a:p>
          <a:endParaRPr lang="en-US"/>
        </a:p>
      </dgm:t>
    </dgm:pt>
    <dgm:pt modelId="{EA12AC73-7CC6-4DCB-9D86-FB90B24961FD}">
      <dgm:prSet phldrT="[Text]"/>
      <dgm:spPr/>
      <dgm:t>
        <a:bodyPr/>
        <a:lstStyle/>
        <a:p>
          <a:r>
            <a:rPr lang="en-US"/>
            <a:t>Maternity - driven by liveborn and other complications of births</a:t>
          </a:r>
        </a:p>
      </dgm:t>
    </dgm:pt>
    <dgm:pt modelId="{95757B42-C9E7-4D2F-B66D-0168FCD531D3}" type="parTrans" cxnId="{7BFFD2A3-254C-4270-A967-9ACB4705700D}">
      <dgm:prSet/>
      <dgm:spPr/>
      <dgm:t>
        <a:bodyPr/>
        <a:lstStyle/>
        <a:p>
          <a:endParaRPr lang="en-US"/>
        </a:p>
      </dgm:t>
    </dgm:pt>
    <dgm:pt modelId="{E4E82AD5-06AE-4CD0-B732-775AEAC70A89}" type="sibTrans" cxnId="{7BFFD2A3-254C-4270-A967-9ACB4705700D}">
      <dgm:prSet/>
      <dgm:spPr/>
      <dgm:t>
        <a:bodyPr/>
        <a:lstStyle/>
        <a:p>
          <a:endParaRPr lang="en-US"/>
        </a:p>
      </dgm:t>
    </dgm:pt>
    <dgm:pt modelId="{8CBF504A-EB91-4214-86AB-8CF8A8D6DA1D}" type="pres">
      <dgm:prSet presAssocID="{08866E4A-EB03-4584-84CA-201CE73D9495}" presName="Name0" presStyleCnt="0">
        <dgm:presLayoutVars>
          <dgm:chMax val="7"/>
          <dgm:chPref val="7"/>
          <dgm:dir/>
        </dgm:presLayoutVars>
      </dgm:prSet>
      <dgm:spPr/>
      <dgm:t>
        <a:bodyPr/>
        <a:lstStyle/>
        <a:p>
          <a:endParaRPr lang="en-US"/>
        </a:p>
      </dgm:t>
    </dgm:pt>
    <dgm:pt modelId="{EEE6D4D0-0395-4B6E-9557-5DA3F36FEF62}" type="pres">
      <dgm:prSet presAssocID="{08866E4A-EB03-4584-84CA-201CE73D9495}" presName="Name1" presStyleCnt="0"/>
      <dgm:spPr/>
    </dgm:pt>
    <dgm:pt modelId="{77F6DECE-917F-4880-8049-7BB6BD09B0D6}" type="pres">
      <dgm:prSet presAssocID="{08866E4A-EB03-4584-84CA-201CE73D9495}" presName="cycle" presStyleCnt="0"/>
      <dgm:spPr/>
    </dgm:pt>
    <dgm:pt modelId="{8AB89C7E-2936-42E6-846C-43ACB4D931D1}" type="pres">
      <dgm:prSet presAssocID="{08866E4A-EB03-4584-84CA-201CE73D9495}" presName="srcNode" presStyleLbl="node1" presStyleIdx="0" presStyleCnt="5"/>
      <dgm:spPr/>
    </dgm:pt>
    <dgm:pt modelId="{658CD784-E44C-4145-972B-79C71FBF428D}" type="pres">
      <dgm:prSet presAssocID="{08866E4A-EB03-4584-84CA-201CE73D9495}" presName="conn" presStyleLbl="parChTrans1D2" presStyleIdx="0" presStyleCnt="1"/>
      <dgm:spPr/>
      <dgm:t>
        <a:bodyPr/>
        <a:lstStyle/>
        <a:p>
          <a:endParaRPr lang="en-US"/>
        </a:p>
      </dgm:t>
    </dgm:pt>
    <dgm:pt modelId="{EC568634-1311-43EC-BA5F-F70B22C7AF31}" type="pres">
      <dgm:prSet presAssocID="{08866E4A-EB03-4584-84CA-201CE73D9495}" presName="extraNode" presStyleLbl="node1" presStyleIdx="0" presStyleCnt="5"/>
      <dgm:spPr/>
    </dgm:pt>
    <dgm:pt modelId="{7CA4BDD8-3680-458B-B8F7-1278D7CD75BF}" type="pres">
      <dgm:prSet presAssocID="{08866E4A-EB03-4584-84CA-201CE73D9495}" presName="dstNode" presStyleLbl="node1" presStyleIdx="0" presStyleCnt="5"/>
      <dgm:spPr/>
    </dgm:pt>
    <dgm:pt modelId="{707035F0-D2D6-404D-8EE6-EF273D176177}" type="pres">
      <dgm:prSet presAssocID="{D8250852-1AA1-41A6-B022-5C185A0F39AC}" presName="text_1" presStyleLbl="node1" presStyleIdx="0" presStyleCnt="5">
        <dgm:presLayoutVars>
          <dgm:bulletEnabled val="1"/>
        </dgm:presLayoutVars>
      </dgm:prSet>
      <dgm:spPr/>
      <dgm:t>
        <a:bodyPr/>
        <a:lstStyle/>
        <a:p>
          <a:endParaRPr lang="en-US"/>
        </a:p>
      </dgm:t>
    </dgm:pt>
    <dgm:pt modelId="{E192664C-03C6-42CF-A6ED-626596E07BBC}" type="pres">
      <dgm:prSet presAssocID="{D8250852-1AA1-41A6-B022-5C185A0F39AC}" presName="accent_1" presStyleCnt="0"/>
      <dgm:spPr/>
    </dgm:pt>
    <dgm:pt modelId="{864C6932-901A-42FE-BBD2-3FB50E7B6FCE}" type="pres">
      <dgm:prSet presAssocID="{D8250852-1AA1-41A6-B022-5C185A0F39AC}" presName="accentRepeatNode" presStyleLbl="solidFgAcc1" presStyleIdx="0" presStyleCnt="5"/>
      <dgm:spPr/>
    </dgm:pt>
    <dgm:pt modelId="{AF716257-52A3-4BC6-B02C-BEB93A2ADEA3}" type="pres">
      <dgm:prSet presAssocID="{831C98CF-0A8C-4A62-A871-3C715D16A188}" presName="text_2" presStyleLbl="node1" presStyleIdx="1" presStyleCnt="5">
        <dgm:presLayoutVars>
          <dgm:bulletEnabled val="1"/>
        </dgm:presLayoutVars>
      </dgm:prSet>
      <dgm:spPr/>
      <dgm:t>
        <a:bodyPr/>
        <a:lstStyle/>
        <a:p>
          <a:endParaRPr lang="en-US"/>
        </a:p>
      </dgm:t>
    </dgm:pt>
    <dgm:pt modelId="{1D64BC7C-BB5C-4CAE-8DEA-F0F6E071FE5C}" type="pres">
      <dgm:prSet presAssocID="{831C98CF-0A8C-4A62-A871-3C715D16A188}" presName="accent_2" presStyleCnt="0"/>
      <dgm:spPr/>
    </dgm:pt>
    <dgm:pt modelId="{26DA4979-6625-4972-8DAB-DBC2450C7C99}" type="pres">
      <dgm:prSet presAssocID="{831C98CF-0A8C-4A62-A871-3C715D16A188}" presName="accentRepeatNode" presStyleLbl="solidFgAcc1" presStyleIdx="1" presStyleCnt="5"/>
      <dgm:spPr/>
    </dgm:pt>
    <dgm:pt modelId="{0C296A63-6A0F-408A-8603-1044AFAEDDDA}" type="pres">
      <dgm:prSet presAssocID="{3FE616B2-52CC-48FC-AE4C-872FAA7D21E2}" presName="text_3" presStyleLbl="node1" presStyleIdx="2" presStyleCnt="5">
        <dgm:presLayoutVars>
          <dgm:bulletEnabled val="1"/>
        </dgm:presLayoutVars>
      </dgm:prSet>
      <dgm:spPr/>
      <dgm:t>
        <a:bodyPr/>
        <a:lstStyle/>
        <a:p>
          <a:endParaRPr lang="en-US"/>
        </a:p>
      </dgm:t>
    </dgm:pt>
    <dgm:pt modelId="{0F9F17A6-40A1-4B4E-9C76-73A121773C2A}" type="pres">
      <dgm:prSet presAssocID="{3FE616B2-52CC-48FC-AE4C-872FAA7D21E2}" presName="accent_3" presStyleCnt="0"/>
      <dgm:spPr/>
    </dgm:pt>
    <dgm:pt modelId="{01BBD778-6DBB-4226-9C1F-C7FF3E08DD57}" type="pres">
      <dgm:prSet presAssocID="{3FE616B2-52CC-48FC-AE4C-872FAA7D21E2}" presName="accentRepeatNode" presStyleLbl="solidFgAcc1" presStyleIdx="2" presStyleCnt="5"/>
      <dgm:spPr/>
    </dgm:pt>
    <dgm:pt modelId="{6C0849C5-A053-4374-9977-94738BA1A37C}" type="pres">
      <dgm:prSet presAssocID="{57381114-AC25-40A7-87CB-595C4D69F2E6}" presName="text_4" presStyleLbl="node1" presStyleIdx="3" presStyleCnt="5">
        <dgm:presLayoutVars>
          <dgm:bulletEnabled val="1"/>
        </dgm:presLayoutVars>
      </dgm:prSet>
      <dgm:spPr/>
      <dgm:t>
        <a:bodyPr/>
        <a:lstStyle/>
        <a:p>
          <a:endParaRPr lang="en-US"/>
        </a:p>
      </dgm:t>
    </dgm:pt>
    <dgm:pt modelId="{E02A6BE9-A179-4E1D-B6F9-B3CA29F6DDD6}" type="pres">
      <dgm:prSet presAssocID="{57381114-AC25-40A7-87CB-595C4D69F2E6}" presName="accent_4" presStyleCnt="0"/>
      <dgm:spPr/>
    </dgm:pt>
    <dgm:pt modelId="{7CA7AECF-043A-41AD-90E2-F948660117A1}" type="pres">
      <dgm:prSet presAssocID="{57381114-AC25-40A7-87CB-595C4D69F2E6}" presName="accentRepeatNode" presStyleLbl="solidFgAcc1" presStyleIdx="3" presStyleCnt="5"/>
      <dgm:spPr/>
    </dgm:pt>
    <dgm:pt modelId="{B626860D-3335-45A9-979C-0050A9E6D075}" type="pres">
      <dgm:prSet presAssocID="{EA12AC73-7CC6-4DCB-9D86-FB90B24961FD}" presName="text_5" presStyleLbl="node1" presStyleIdx="4" presStyleCnt="5">
        <dgm:presLayoutVars>
          <dgm:bulletEnabled val="1"/>
        </dgm:presLayoutVars>
      </dgm:prSet>
      <dgm:spPr/>
      <dgm:t>
        <a:bodyPr/>
        <a:lstStyle/>
        <a:p>
          <a:endParaRPr lang="en-US"/>
        </a:p>
      </dgm:t>
    </dgm:pt>
    <dgm:pt modelId="{6BFAC59F-2567-4474-8D3A-02B6B4194351}" type="pres">
      <dgm:prSet presAssocID="{EA12AC73-7CC6-4DCB-9D86-FB90B24961FD}" presName="accent_5" presStyleCnt="0"/>
      <dgm:spPr/>
    </dgm:pt>
    <dgm:pt modelId="{1B3A16A4-EEB4-4F98-BA4B-3586D21A2677}" type="pres">
      <dgm:prSet presAssocID="{EA12AC73-7CC6-4DCB-9D86-FB90B24961FD}" presName="accentRepeatNode" presStyleLbl="solidFgAcc1" presStyleIdx="4" presStyleCnt="5"/>
      <dgm:spPr/>
    </dgm:pt>
  </dgm:ptLst>
  <dgm:cxnLst>
    <dgm:cxn modelId="{502D76B4-2AC2-49F3-ACA9-34DC87D4661C}" srcId="{08866E4A-EB03-4584-84CA-201CE73D9495}" destId="{57381114-AC25-40A7-87CB-595C4D69F2E6}" srcOrd="3" destOrd="0" parTransId="{1AA5C076-8671-4E9F-8439-6933F4D29804}" sibTransId="{B77C1752-5E78-4F5C-873C-8BFF07FC48D9}"/>
    <dgm:cxn modelId="{A7759B4C-BB87-4BE7-AA36-EE370715B352}" srcId="{08866E4A-EB03-4584-84CA-201CE73D9495}" destId="{831C98CF-0A8C-4A62-A871-3C715D16A188}" srcOrd="1" destOrd="0" parTransId="{E4FCBA2D-D7C1-4886-9F9D-3ACF0CA22A15}" sibTransId="{741DE432-CA73-4989-8905-69F90E9525A7}"/>
    <dgm:cxn modelId="{F7BA6FE1-5876-4CEB-BC04-D98F8AD1EB22}" srcId="{08866E4A-EB03-4584-84CA-201CE73D9495}" destId="{D8250852-1AA1-41A6-B022-5C185A0F39AC}" srcOrd="0" destOrd="0" parTransId="{064D0ADF-BCD4-4F5E-8D58-DA201AFE5F07}" sibTransId="{93CA2F6F-2839-47D0-B1C5-B787911A89EA}"/>
    <dgm:cxn modelId="{F04C8081-0F74-43A4-A10D-7B16D4505EF3}" type="presOf" srcId="{57381114-AC25-40A7-87CB-595C4D69F2E6}" destId="{6C0849C5-A053-4374-9977-94738BA1A37C}" srcOrd="0" destOrd="0" presId="urn:microsoft.com/office/officeart/2008/layout/VerticalCurvedList"/>
    <dgm:cxn modelId="{D8986F4E-F9FF-4B42-AB3A-CBBD3717828B}" type="presOf" srcId="{831C98CF-0A8C-4A62-A871-3C715D16A188}" destId="{AF716257-52A3-4BC6-B02C-BEB93A2ADEA3}" srcOrd="0" destOrd="0" presId="urn:microsoft.com/office/officeart/2008/layout/VerticalCurvedList"/>
    <dgm:cxn modelId="{43797307-5212-45D8-900E-E6EDA6F96CB2}" srcId="{08866E4A-EB03-4584-84CA-201CE73D9495}" destId="{3FE616B2-52CC-48FC-AE4C-872FAA7D21E2}" srcOrd="2" destOrd="0" parTransId="{E606771A-A32B-43EB-A316-A1F90C1221D6}" sibTransId="{460F78D5-9916-4B0A-A025-DD5CF357EFB3}"/>
    <dgm:cxn modelId="{B8C619F3-20D9-4808-9071-B10D3D93109E}" type="presOf" srcId="{93CA2F6F-2839-47D0-B1C5-B787911A89EA}" destId="{658CD784-E44C-4145-972B-79C71FBF428D}" srcOrd="0" destOrd="0" presId="urn:microsoft.com/office/officeart/2008/layout/VerticalCurvedList"/>
    <dgm:cxn modelId="{E78B5AD4-7A9A-4941-8CB6-607AAF54B00E}" type="presOf" srcId="{D8250852-1AA1-41A6-B022-5C185A0F39AC}" destId="{707035F0-D2D6-404D-8EE6-EF273D176177}" srcOrd="0" destOrd="0" presId="urn:microsoft.com/office/officeart/2008/layout/VerticalCurvedList"/>
    <dgm:cxn modelId="{6A594799-E9CA-4DB7-8316-AB395929AF66}" type="presOf" srcId="{08866E4A-EB03-4584-84CA-201CE73D9495}" destId="{8CBF504A-EB91-4214-86AB-8CF8A8D6DA1D}" srcOrd="0" destOrd="0" presId="urn:microsoft.com/office/officeart/2008/layout/VerticalCurvedList"/>
    <dgm:cxn modelId="{7BFFD2A3-254C-4270-A967-9ACB4705700D}" srcId="{08866E4A-EB03-4584-84CA-201CE73D9495}" destId="{EA12AC73-7CC6-4DCB-9D86-FB90B24961FD}" srcOrd="4" destOrd="0" parTransId="{95757B42-C9E7-4D2F-B66D-0168FCD531D3}" sibTransId="{E4E82AD5-06AE-4CD0-B732-775AEAC70A89}"/>
    <dgm:cxn modelId="{7A8266E1-FF5A-4514-8696-162A00E68263}" type="presOf" srcId="{EA12AC73-7CC6-4DCB-9D86-FB90B24961FD}" destId="{B626860D-3335-45A9-979C-0050A9E6D075}" srcOrd="0" destOrd="0" presId="urn:microsoft.com/office/officeart/2008/layout/VerticalCurvedList"/>
    <dgm:cxn modelId="{0FC4897C-DCFF-497F-9F43-847B7E952FEB}" type="presOf" srcId="{3FE616B2-52CC-48FC-AE4C-872FAA7D21E2}" destId="{0C296A63-6A0F-408A-8603-1044AFAEDDDA}" srcOrd="0" destOrd="0" presId="urn:microsoft.com/office/officeart/2008/layout/VerticalCurvedList"/>
    <dgm:cxn modelId="{3F15C008-E35D-43BC-A65A-D1AAFFBEE8B9}" type="presParOf" srcId="{8CBF504A-EB91-4214-86AB-8CF8A8D6DA1D}" destId="{EEE6D4D0-0395-4B6E-9557-5DA3F36FEF62}" srcOrd="0" destOrd="0" presId="urn:microsoft.com/office/officeart/2008/layout/VerticalCurvedList"/>
    <dgm:cxn modelId="{835A7A23-E0CD-4766-ADE6-5441F0DA3018}" type="presParOf" srcId="{EEE6D4D0-0395-4B6E-9557-5DA3F36FEF62}" destId="{77F6DECE-917F-4880-8049-7BB6BD09B0D6}" srcOrd="0" destOrd="0" presId="urn:microsoft.com/office/officeart/2008/layout/VerticalCurvedList"/>
    <dgm:cxn modelId="{632F4D7D-3199-4F5D-A41E-E55D5DA93D23}" type="presParOf" srcId="{77F6DECE-917F-4880-8049-7BB6BD09B0D6}" destId="{8AB89C7E-2936-42E6-846C-43ACB4D931D1}" srcOrd="0" destOrd="0" presId="urn:microsoft.com/office/officeart/2008/layout/VerticalCurvedList"/>
    <dgm:cxn modelId="{7F4EA4CC-9DAF-4D37-B52C-50F7B097378C}" type="presParOf" srcId="{77F6DECE-917F-4880-8049-7BB6BD09B0D6}" destId="{658CD784-E44C-4145-972B-79C71FBF428D}" srcOrd="1" destOrd="0" presId="urn:microsoft.com/office/officeart/2008/layout/VerticalCurvedList"/>
    <dgm:cxn modelId="{93764DA1-2307-40AD-AF76-0488A02F8C3D}" type="presParOf" srcId="{77F6DECE-917F-4880-8049-7BB6BD09B0D6}" destId="{EC568634-1311-43EC-BA5F-F70B22C7AF31}" srcOrd="2" destOrd="0" presId="urn:microsoft.com/office/officeart/2008/layout/VerticalCurvedList"/>
    <dgm:cxn modelId="{62700662-59FC-4365-BC96-9890C6B94247}" type="presParOf" srcId="{77F6DECE-917F-4880-8049-7BB6BD09B0D6}" destId="{7CA4BDD8-3680-458B-B8F7-1278D7CD75BF}" srcOrd="3" destOrd="0" presId="urn:microsoft.com/office/officeart/2008/layout/VerticalCurvedList"/>
    <dgm:cxn modelId="{1E2F516D-98C4-4DD7-9A79-FBF4BDB6931B}" type="presParOf" srcId="{EEE6D4D0-0395-4B6E-9557-5DA3F36FEF62}" destId="{707035F0-D2D6-404D-8EE6-EF273D176177}" srcOrd="1" destOrd="0" presId="urn:microsoft.com/office/officeart/2008/layout/VerticalCurvedList"/>
    <dgm:cxn modelId="{E64F2F15-1641-48C8-825B-B5AA71004E3B}" type="presParOf" srcId="{EEE6D4D0-0395-4B6E-9557-5DA3F36FEF62}" destId="{E192664C-03C6-42CF-A6ED-626596E07BBC}" srcOrd="2" destOrd="0" presId="urn:microsoft.com/office/officeart/2008/layout/VerticalCurvedList"/>
    <dgm:cxn modelId="{4E6BA5C9-7374-43CA-AFA3-735A7EC89D6A}" type="presParOf" srcId="{E192664C-03C6-42CF-A6ED-626596E07BBC}" destId="{864C6932-901A-42FE-BBD2-3FB50E7B6FCE}" srcOrd="0" destOrd="0" presId="urn:microsoft.com/office/officeart/2008/layout/VerticalCurvedList"/>
    <dgm:cxn modelId="{7DD746BA-7632-4785-A386-242E7AF740DA}" type="presParOf" srcId="{EEE6D4D0-0395-4B6E-9557-5DA3F36FEF62}" destId="{AF716257-52A3-4BC6-B02C-BEB93A2ADEA3}" srcOrd="3" destOrd="0" presId="urn:microsoft.com/office/officeart/2008/layout/VerticalCurvedList"/>
    <dgm:cxn modelId="{25B76339-4624-4434-9AB2-297F5B79DFAA}" type="presParOf" srcId="{EEE6D4D0-0395-4B6E-9557-5DA3F36FEF62}" destId="{1D64BC7C-BB5C-4CAE-8DEA-F0F6E071FE5C}" srcOrd="4" destOrd="0" presId="urn:microsoft.com/office/officeart/2008/layout/VerticalCurvedList"/>
    <dgm:cxn modelId="{90DB360D-9E63-4918-81E6-00764B2EACA5}" type="presParOf" srcId="{1D64BC7C-BB5C-4CAE-8DEA-F0F6E071FE5C}" destId="{26DA4979-6625-4972-8DAB-DBC2450C7C99}" srcOrd="0" destOrd="0" presId="urn:microsoft.com/office/officeart/2008/layout/VerticalCurvedList"/>
    <dgm:cxn modelId="{3E65CF74-B9E4-4475-8FC2-575756E1AA79}" type="presParOf" srcId="{EEE6D4D0-0395-4B6E-9557-5DA3F36FEF62}" destId="{0C296A63-6A0F-408A-8603-1044AFAEDDDA}" srcOrd="5" destOrd="0" presId="urn:microsoft.com/office/officeart/2008/layout/VerticalCurvedList"/>
    <dgm:cxn modelId="{65F84E76-747D-4DE6-BBA4-75387333FE50}" type="presParOf" srcId="{EEE6D4D0-0395-4B6E-9557-5DA3F36FEF62}" destId="{0F9F17A6-40A1-4B4E-9C76-73A121773C2A}" srcOrd="6" destOrd="0" presId="urn:microsoft.com/office/officeart/2008/layout/VerticalCurvedList"/>
    <dgm:cxn modelId="{ADBF54DA-88C8-4E6F-A0CC-DEC2ADE5B596}" type="presParOf" srcId="{0F9F17A6-40A1-4B4E-9C76-73A121773C2A}" destId="{01BBD778-6DBB-4226-9C1F-C7FF3E08DD57}" srcOrd="0" destOrd="0" presId="urn:microsoft.com/office/officeart/2008/layout/VerticalCurvedList"/>
    <dgm:cxn modelId="{CB49320D-27ED-43F0-B951-D51AB9B39CB2}" type="presParOf" srcId="{EEE6D4D0-0395-4B6E-9557-5DA3F36FEF62}" destId="{6C0849C5-A053-4374-9977-94738BA1A37C}" srcOrd="7" destOrd="0" presId="urn:microsoft.com/office/officeart/2008/layout/VerticalCurvedList"/>
    <dgm:cxn modelId="{05ED917D-70A0-4791-A232-2356F77817BD}" type="presParOf" srcId="{EEE6D4D0-0395-4B6E-9557-5DA3F36FEF62}" destId="{E02A6BE9-A179-4E1D-B6F9-B3CA29F6DDD6}" srcOrd="8" destOrd="0" presId="urn:microsoft.com/office/officeart/2008/layout/VerticalCurvedList"/>
    <dgm:cxn modelId="{9EAB9B5A-5B30-4134-9868-F70D0A8AE6CE}" type="presParOf" srcId="{E02A6BE9-A179-4E1D-B6F9-B3CA29F6DDD6}" destId="{7CA7AECF-043A-41AD-90E2-F948660117A1}" srcOrd="0" destOrd="0" presId="urn:microsoft.com/office/officeart/2008/layout/VerticalCurvedList"/>
    <dgm:cxn modelId="{1424AD8A-0FD9-420F-BFCF-2970D2E47397}" type="presParOf" srcId="{EEE6D4D0-0395-4B6E-9557-5DA3F36FEF62}" destId="{B626860D-3335-45A9-979C-0050A9E6D075}" srcOrd="9" destOrd="0" presId="urn:microsoft.com/office/officeart/2008/layout/VerticalCurvedList"/>
    <dgm:cxn modelId="{4BAABECB-A6F6-48A9-9A63-464416C30C9E}" type="presParOf" srcId="{EEE6D4D0-0395-4B6E-9557-5DA3F36FEF62}" destId="{6BFAC59F-2567-4474-8D3A-02B6B4194351}" srcOrd="10" destOrd="0" presId="urn:microsoft.com/office/officeart/2008/layout/VerticalCurvedList"/>
    <dgm:cxn modelId="{5AC00315-9C10-4699-9E1D-9AB6AEB07721}" type="presParOf" srcId="{6BFAC59F-2567-4474-8D3A-02B6B4194351}" destId="{1B3A16A4-EEB4-4F98-BA4B-3586D21A2677}" srcOrd="0" destOrd="0" presId="urn:microsoft.com/office/officeart/2008/layout/VerticalCurv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8CD784-E44C-4145-972B-79C71FBF428D}">
      <dsp:nvSpPr>
        <dsp:cNvPr id="0" name=""/>
        <dsp:cNvSpPr/>
      </dsp:nvSpPr>
      <dsp:spPr>
        <a:xfrm>
          <a:off x="-3288921" y="-505950"/>
          <a:ext cx="3922077" cy="3922077"/>
        </a:xfrm>
        <a:prstGeom prst="blockArc">
          <a:avLst>
            <a:gd name="adj1" fmla="val 18900000"/>
            <a:gd name="adj2" fmla="val 2700000"/>
            <a:gd name="adj3" fmla="val 551"/>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7035F0-D2D6-404D-8EE6-EF273D176177}">
      <dsp:nvSpPr>
        <dsp:cNvPr id="0" name=""/>
        <dsp:cNvSpPr/>
      </dsp:nvSpPr>
      <dsp:spPr>
        <a:xfrm>
          <a:off x="277917" y="181827"/>
          <a:ext cx="4932979" cy="3638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8837" tIns="27940" rIns="27940" bIns="27940" numCol="1" spcCol="1270" anchor="ctr" anchorCtr="0">
          <a:noAutofit/>
        </a:bodyPr>
        <a:lstStyle/>
        <a:p>
          <a:pPr lvl="0" algn="l" defTabSz="488950">
            <a:lnSpc>
              <a:spcPct val="90000"/>
            </a:lnSpc>
            <a:spcBef>
              <a:spcPct val="0"/>
            </a:spcBef>
            <a:spcAft>
              <a:spcPct val="35000"/>
            </a:spcAft>
          </a:pPr>
          <a:r>
            <a:rPr lang="en-US" sz="1100" kern="1200"/>
            <a:t>Neoplasms - driven by radiation/chemo and breast cancer</a:t>
          </a:r>
        </a:p>
      </dsp:txBody>
      <dsp:txXfrm>
        <a:off x="277917" y="181827"/>
        <a:ext cx="4932979" cy="363888"/>
      </dsp:txXfrm>
    </dsp:sp>
    <dsp:sp modelId="{864C6932-901A-42FE-BBD2-3FB50E7B6FCE}">
      <dsp:nvSpPr>
        <dsp:cNvPr id="0" name=""/>
        <dsp:cNvSpPr/>
      </dsp:nvSpPr>
      <dsp:spPr>
        <a:xfrm>
          <a:off x="50487" y="136341"/>
          <a:ext cx="454860" cy="45486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F716257-52A3-4BC6-B02C-BEB93A2ADEA3}">
      <dsp:nvSpPr>
        <dsp:cNvPr id="0" name=""/>
        <dsp:cNvSpPr/>
      </dsp:nvSpPr>
      <dsp:spPr>
        <a:xfrm>
          <a:off x="538669" y="727486"/>
          <a:ext cx="4672227" cy="3638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8837" tIns="27940" rIns="27940" bIns="27940" numCol="1" spcCol="1270" anchor="ctr" anchorCtr="0">
          <a:noAutofit/>
        </a:bodyPr>
        <a:lstStyle/>
        <a:p>
          <a:pPr lvl="0" algn="l" defTabSz="488950">
            <a:lnSpc>
              <a:spcPct val="90000"/>
            </a:lnSpc>
            <a:spcBef>
              <a:spcPct val="0"/>
            </a:spcBef>
            <a:spcAft>
              <a:spcPct val="35000"/>
            </a:spcAft>
          </a:pPr>
          <a:r>
            <a:rPr lang="en-US" sz="1100" kern="1200"/>
            <a:t>Musculoskeletal - driven by back/neck pain and osteoarthritis</a:t>
          </a:r>
        </a:p>
      </dsp:txBody>
      <dsp:txXfrm>
        <a:off x="538669" y="727486"/>
        <a:ext cx="4672227" cy="363888"/>
      </dsp:txXfrm>
    </dsp:sp>
    <dsp:sp modelId="{26DA4979-6625-4972-8DAB-DBC2450C7C99}">
      <dsp:nvSpPr>
        <dsp:cNvPr id="0" name=""/>
        <dsp:cNvSpPr/>
      </dsp:nvSpPr>
      <dsp:spPr>
        <a:xfrm>
          <a:off x="311239" y="681999"/>
          <a:ext cx="454860" cy="45486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C296A63-6A0F-408A-8603-1044AFAEDDDA}">
      <dsp:nvSpPr>
        <dsp:cNvPr id="0" name=""/>
        <dsp:cNvSpPr/>
      </dsp:nvSpPr>
      <dsp:spPr>
        <a:xfrm>
          <a:off x="618699" y="1273144"/>
          <a:ext cx="4592198" cy="3638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8837" tIns="27940" rIns="27940" bIns="27940" numCol="1" spcCol="1270" anchor="ctr" anchorCtr="0">
          <a:noAutofit/>
        </a:bodyPr>
        <a:lstStyle/>
        <a:p>
          <a:pPr lvl="0" algn="l" defTabSz="488950">
            <a:lnSpc>
              <a:spcPct val="90000"/>
            </a:lnSpc>
            <a:spcBef>
              <a:spcPct val="0"/>
            </a:spcBef>
            <a:spcAft>
              <a:spcPct val="35000"/>
            </a:spcAft>
          </a:pPr>
          <a:r>
            <a:rPr lang="en-US" sz="1100" kern="1200"/>
            <a:t>Other Conditions - driven by screenings for suspected conditions, immunizations and preventative screenings</a:t>
          </a:r>
        </a:p>
      </dsp:txBody>
      <dsp:txXfrm>
        <a:off x="618699" y="1273144"/>
        <a:ext cx="4592198" cy="363888"/>
      </dsp:txXfrm>
    </dsp:sp>
    <dsp:sp modelId="{01BBD778-6DBB-4226-9C1F-C7FF3E08DD57}">
      <dsp:nvSpPr>
        <dsp:cNvPr id="0" name=""/>
        <dsp:cNvSpPr/>
      </dsp:nvSpPr>
      <dsp:spPr>
        <a:xfrm>
          <a:off x="391269" y="1227658"/>
          <a:ext cx="454860" cy="45486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0849C5-A053-4374-9977-94738BA1A37C}">
      <dsp:nvSpPr>
        <dsp:cNvPr id="0" name=""/>
        <dsp:cNvSpPr/>
      </dsp:nvSpPr>
      <dsp:spPr>
        <a:xfrm>
          <a:off x="538669" y="1818802"/>
          <a:ext cx="4672227" cy="3638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8837" tIns="27940" rIns="27940" bIns="27940" numCol="1" spcCol="1270" anchor="ctr" anchorCtr="0">
          <a:noAutofit/>
        </a:bodyPr>
        <a:lstStyle/>
        <a:p>
          <a:pPr lvl="0" algn="l" defTabSz="488950">
            <a:lnSpc>
              <a:spcPct val="90000"/>
            </a:lnSpc>
            <a:spcBef>
              <a:spcPct val="0"/>
            </a:spcBef>
            <a:spcAft>
              <a:spcPct val="35000"/>
            </a:spcAft>
          </a:pPr>
          <a:r>
            <a:rPr lang="en-US" sz="1100" kern="1200"/>
            <a:t>Circulatory - driven by cardiac dysrhythmia and coronary atherosclerosis</a:t>
          </a:r>
        </a:p>
      </dsp:txBody>
      <dsp:txXfrm>
        <a:off x="538669" y="1818802"/>
        <a:ext cx="4672227" cy="363888"/>
      </dsp:txXfrm>
    </dsp:sp>
    <dsp:sp modelId="{7CA7AECF-043A-41AD-90E2-F948660117A1}">
      <dsp:nvSpPr>
        <dsp:cNvPr id="0" name=""/>
        <dsp:cNvSpPr/>
      </dsp:nvSpPr>
      <dsp:spPr>
        <a:xfrm>
          <a:off x="311239" y="1773316"/>
          <a:ext cx="454860" cy="45486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26860D-3335-45A9-979C-0050A9E6D075}">
      <dsp:nvSpPr>
        <dsp:cNvPr id="0" name=""/>
        <dsp:cNvSpPr/>
      </dsp:nvSpPr>
      <dsp:spPr>
        <a:xfrm>
          <a:off x="277917" y="2364460"/>
          <a:ext cx="4932979" cy="3638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8837" tIns="27940" rIns="27940" bIns="27940" numCol="1" spcCol="1270" anchor="ctr" anchorCtr="0">
          <a:noAutofit/>
        </a:bodyPr>
        <a:lstStyle/>
        <a:p>
          <a:pPr lvl="0" algn="l" defTabSz="488950">
            <a:lnSpc>
              <a:spcPct val="90000"/>
            </a:lnSpc>
            <a:spcBef>
              <a:spcPct val="0"/>
            </a:spcBef>
            <a:spcAft>
              <a:spcPct val="35000"/>
            </a:spcAft>
          </a:pPr>
          <a:r>
            <a:rPr lang="en-US" sz="1100" kern="1200"/>
            <a:t>Maternity - driven by liveborn and other complications of births</a:t>
          </a:r>
        </a:p>
      </dsp:txBody>
      <dsp:txXfrm>
        <a:off x="277917" y="2364460"/>
        <a:ext cx="4932979" cy="363888"/>
      </dsp:txXfrm>
    </dsp:sp>
    <dsp:sp modelId="{1B3A16A4-EEB4-4F98-BA4B-3586D21A2677}">
      <dsp:nvSpPr>
        <dsp:cNvPr id="0" name=""/>
        <dsp:cNvSpPr/>
      </dsp:nvSpPr>
      <dsp:spPr>
        <a:xfrm>
          <a:off x="50487" y="2318974"/>
          <a:ext cx="454860" cy="45486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0.01226</cdr:x>
      <cdr:y>0.81345</cdr:y>
    </cdr:from>
    <cdr:to>
      <cdr:x>0.68136</cdr:x>
      <cdr:y>1</cdr:y>
    </cdr:to>
    <cdr:sp macro="" textlink="">
      <cdr:nvSpPr>
        <cdr:cNvPr id="2" name="TextBox 1"/>
        <cdr:cNvSpPr txBox="1"/>
      </cdr:nvSpPr>
      <cdr:spPr>
        <a:xfrm xmlns:a="http://schemas.openxmlformats.org/drawingml/2006/main">
          <a:off x="56852" y="1699412"/>
          <a:ext cx="3101613" cy="3897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b="1">
            <a:latin typeface="Times New Roman" panose="02020603050405020304" pitchFamily="18" charset="0"/>
            <a:cs typeface="Times New Roman" panose="02020603050405020304" pitchFamily="18" charset="0"/>
          </a:endParaRPr>
        </a:p>
        <a:p xmlns:a="http://schemas.openxmlformats.org/drawingml/2006/main">
          <a:r>
            <a:rPr lang="en-US" sz="800" b="1">
              <a:latin typeface="Times New Roman" panose="02020603050405020304" pitchFamily="18" charset="0"/>
              <a:cs typeface="Times New Roman" panose="02020603050405020304" pitchFamily="18" charset="0"/>
            </a:rPr>
            <a:t>FY19 Estimated Contributions = $354M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F657EF1EEE547970F530E039D38EB" ma:contentTypeVersion="1" ma:contentTypeDescription="Create a new document." ma:contentTypeScope="" ma:versionID="d2a8b89cc32a75c4aaca3cfd2bdbcc3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12B67-D14D-41AA-AFEF-896D927A22D8}"/>
</file>

<file path=customXml/itemProps2.xml><?xml version="1.0" encoding="utf-8"?>
<ds:datastoreItem xmlns:ds="http://schemas.openxmlformats.org/officeDocument/2006/customXml" ds:itemID="{BE0DEC34-266D-4E10-9B2B-FA2D98BFB2A3}"/>
</file>

<file path=customXml/itemProps3.xml><?xml version="1.0" encoding="utf-8"?>
<ds:datastoreItem xmlns:ds="http://schemas.openxmlformats.org/officeDocument/2006/customXml" ds:itemID="{80015A1B-28A2-493C-931C-B8440A97AC28}"/>
</file>

<file path=customXml/itemProps4.xml><?xml version="1.0" encoding="utf-8"?>
<ds:datastoreItem xmlns:ds="http://schemas.openxmlformats.org/officeDocument/2006/customXml" ds:itemID="{2BF14F3E-A810-4761-A618-791E961B3255}"/>
</file>

<file path=docProps/app.xml><?xml version="1.0" encoding="utf-8"?>
<Properties xmlns="http://schemas.openxmlformats.org/officeDocument/2006/extended-properties" xmlns:vt="http://schemas.openxmlformats.org/officeDocument/2006/docPropsVTypes">
  <Template>Normal</Template>
  <TotalTime>2</TotalTime>
  <Pages>14</Pages>
  <Words>2696</Words>
  <Characters>15371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 A.</dc:creator>
  <cp:keywords/>
  <dc:description/>
  <cp:lastModifiedBy>Harmon, Cindy S. (Curators)</cp:lastModifiedBy>
  <cp:revision>2</cp:revision>
  <cp:lastPrinted>2019-03-11T15:48:00Z</cp:lastPrinted>
  <dcterms:created xsi:type="dcterms:W3CDTF">2019-03-22T18:31:00Z</dcterms:created>
  <dcterms:modified xsi:type="dcterms:W3CDTF">2019-03-22T18:31:00Z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0x01010044BF657EF1EEE547970F530E039D38EB</vt:lpwstr>
  </property>
  <property fmtid="{D5CDD505-2E9C-101B-9397-08002B2CF9AE}" pid="3" name="Order">
    <vt:r8>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